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6D" w:rsidRP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  <w:r w:rsidRPr="00CF696D">
        <w:rPr>
          <w:rFonts w:asciiTheme="minorBidi" w:hAnsiTheme="minorBidi"/>
          <w:color w:val="44546A" w:themeColor="text2"/>
        </w:rPr>
        <w:t xml:space="preserve">Dr. Ehsan </w:t>
      </w:r>
      <w:proofErr w:type="spellStart"/>
      <w:r w:rsidRPr="00CF696D">
        <w:rPr>
          <w:rFonts w:asciiTheme="minorBidi" w:hAnsiTheme="minorBidi"/>
          <w:color w:val="44546A" w:themeColor="text2"/>
        </w:rPr>
        <w:t>Vallizadeh</w:t>
      </w:r>
      <w:proofErr w:type="spellEnd"/>
    </w:p>
    <w:p w:rsid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  <w:r w:rsidRPr="00CF696D">
        <w:rPr>
          <w:rFonts w:asciiTheme="minorBidi" w:hAnsiTheme="minorBidi"/>
          <w:color w:val="44546A" w:themeColor="text2"/>
        </w:rPr>
        <w:t>University of Bamberg</w:t>
      </w:r>
    </w:p>
    <w:p w:rsid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F696D">
      <w:pPr>
        <w:spacing w:after="0"/>
        <w:rPr>
          <w:rFonts w:asciiTheme="minorBidi" w:hAnsiTheme="minorBidi"/>
          <w:color w:val="44546A" w:themeColor="text2"/>
        </w:rPr>
      </w:pPr>
    </w:p>
    <w:p w:rsidR="00CF696D" w:rsidRDefault="009D4BA5" w:rsidP="00CF696D">
      <w:pPr>
        <w:tabs>
          <w:tab w:val="right" w:pos="8789"/>
        </w:tabs>
        <w:spacing w:after="0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ab/>
        <w:t>Bamberg, Summer Term 2020</w:t>
      </w:r>
    </w:p>
    <w:p w:rsidR="00CF696D" w:rsidRDefault="00CF696D" w:rsidP="00CF696D">
      <w:pPr>
        <w:tabs>
          <w:tab w:val="right" w:pos="8789"/>
        </w:tabs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F696D">
      <w:pPr>
        <w:tabs>
          <w:tab w:val="right" w:pos="8789"/>
        </w:tabs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112D7">
      <w:pPr>
        <w:tabs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F696D" w:rsidRDefault="00CF696D" w:rsidP="00C112D7">
      <w:pPr>
        <w:tabs>
          <w:tab w:val="decimal" w:pos="4536"/>
          <w:tab w:val="right" w:pos="8789"/>
        </w:tabs>
        <w:spacing w:after="0" w:line="276" w:lineRule="auto"/>
        <w:jc w:val="center"/>
        <w:rPr>
          <w:rFonts w:asciiTheme="minorBidi" w:hAnsiTheme="minorBidi"/>
          <w:b/>
          <w:color w:val="44546A" w:themeColor="text2"/>
        </w:rPr>
      </w:pPr>
      <w:r w:rsidRPr="00CF696D">
        <w:rPr>
          <w:rFonts w:asciiTheme="minorBidi" w:hAnsiTheme="minorBidi"/>
          <w:b/>
          <w:color w:val="44546A" w:themeColor="text2"/>
        </w:rPr>
        <w:t>Syllabus</w:t>
      </w:r>
    </w:p>
    <w:p w:rsidR="00C112D7" w:rsidRPr="00CF696D" w:rsidRDefault="00C112D7" w:rsidP="00C112D7">
      <w:pPr>
        <w:tabs>
          <w:tab w:val="decimal" w:pos="4536"/>
          <w:tab w:val="right" w:pos="8789"/>
        </w:tabs>
        <w:spacing w:after="0" w:line="276" w:lineRule="auto"/>
        <w:jc w:val="center"/>
        <w:rPr>
          <w:rFonts w:asciiTheme="minorBidi" w:hAnsiTheme="minorBidi"/>
          <w:b/>
          <w:color w:val="44546A" w:themeColor="text2"/>
        </w:rPr>
      </w:pPr>
    </w:p>
    <w:p w:rsidR="00CF696D" w:rsidRDefault="00CF696D" w:rsidP="00C112D7">
      <w:pPr>
        <w:tabs>
          <w:tab w:val="decimal" w:pos="4536"/>
          <w:tab w:val="right" w:pos="8789"/>
        </w:tabs>
        <w:spacing w:after="0" w:line="276" w:lineRule="auto"/>
        <w:jc w:val="center"/>
        <w:rPr>
          <w:rFonts w:asciiTheme="minorBidi" w:hAnsiTheme="minorBidi"/>
          <w:b/>
          <w:color w:val="44546A" w:themeColor="text2"/>
        </w:rPr>
      </w:pPr>
      <w:r w:rsidRPr="00CF696D">
        <w:rPr>
          <w:rFonts w:asciiTheme="minorBidi" w:hAnsiTheme="minorBidi"/>
          <w:b/>
          <w:color w:val="44546A" w:themeColor="text2"/>
        </w:rPr>
        <w:t xml:space="preserve">Seminar: “Migration and the </w:t>
      </w:r>
      <w:proofErr w:type="spellStart"/>
      <w:r w:rsidRPr="00CF696D">
        <w:rPr>
          <w:rFonts w:asciiTheme="minorBidi" w:hAnsiTheme="minorBidi"/>
          <w:b/>
          <w:color w:val="44546A" w:themeColor="text2"/>
        </w:rPr>
        <w:t>Labour</w:t>
      </w:r>
      <w:proofErr w:type="spellEnd"/>
      <w:r w:rsidRPr="00CF696D">
        <w:rPr>
          <w:rFonts w:asciiTheme="minorBidi" w:hAnsiTheme="minorBidi"/>
          <w:b/>
          <w:color w:val="44546A" w:themeColor="text2"/>
        </w:rPr>
        <w:t xml:space="preserve"> Market”</w:t>
      </w:r>
    </w:p>
    <w:p w:rsidR="00CF696D" w:rsidRDefault="00CF696D" w:rsidP="00CF696D">
      <w:pPr>
        <w:tabs>
          <w:tab w:val="decimal" w:pos="4536"/>
          <w:tab w:val="right" w:pos="8789"/>
        </w:tabs>
        <w:spacing w:after="0"/>
        <w:rPr>
          <w:rFonts w:asciiTheme="minorBidi" w:hAnsiTheme="minorBidi"/>
          <w:b/>
          <w:color w:val="44546A" w:themeColor="text2"/>
        </w:rPr>
      </w:pPr>
    </w:p>
    <w:p w:rsidR="00CF696D" w:rsidRDefault="00CF696D" w:rsidP="00C112D7">
      <w:pPr>
        <w:tabs>
          <w:tab w:val="decimal" w:pos="4536"/>
          <w:tab w:val="right" w:pos="8789"/>
        </w:tabs>
        <w:spacing w:after="0" w:line="276" w:lineRule="auto"/>
        <w:jc w:val="both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 xml:space="preserve">The objective </w:t>
      </w:r>
      <w:r w:rsidRPr="00CF696D">
        <w:rPr>
          <w:rFonts w:asciiTheme="minorBidi" w:hAnsiTheme="minorBidi"/>
          <w:color w:val="44546A" w:themeColor="text2"/>
        </w:rPr>
        <w:t xml:space="preserve">of the seminar is to estimate the wage and employment effects of immigration in Denmark, Germany and the United Kingdom against the background of recent theories and empirical approaches addressing the </w:t>
      </w:r>
      <w:proofErr w:type="spellStart"/>
      <w:r w:rsidRPr="00CF696D">
        <w:rPr>
          <w:rFonts w:asciiTheme="minorBidi" w:hAnsiTheme="minorBidi"/>
          <w:color w:val="44546A" w:themeColor="text2"/>
        </w:rPr>
        <w:t>labour</w:t>
      </w:r>
      <w:proofErr w:type="spellEnd"/>
      <w:r w:rsidRPr="00CF696D">
        <w:rPr>
          <w:rFonts w:asciiTheme="minorBidi" w:hAnsiTheme="minorBidi"/>
          <w:color w:val="44546A" w:themeColor="text2"/>
        </w:rPr>
        <w:t xml:space="preserve"> market effects of immigration. Real micro data from social security registers and the </w:t>
      </w:r>
      <w:proofErr w:type="spellStart"/>
      <w:r w:rsidRPr="00CF696D">
        <w:rPr>
          <w:rFonts w:asciiTheme="minorBidi" w:hAnsiTheme="minorBidi"/>
          <w:color w:val="44546A" w:themeColor="text2"/>
        </w:rPr>
        <w:t>labour</w:t>
      </w:r>
      <w:proofErr w:type="spellEnd"/>
      <w:r w:rsidRPr="00CF696D">
        <w:rPr>
          <w:rFonts w:asciiTheme="minorBidi" w:hAnsiTheme="minorBidi"/>
          <w:color w:val="44546A" w:themeColor="text2"/>
        </w:rPr>
        <w:t xml:space="preserve"> force survey </w:t>
      </w:r>
      <w:proofErr w:type="gramStart"/>
      <w:r w:rsidRPr="00CF696D">
        <w:rPr>
          <w:rFonts w:asciiTheme="minorBidi" w:hAnsiTheme="minorBidi"/>
          <w:color w:val="44546A" w:themeColor="text2"/>
        </w:rPr>
        <w:t>are used</w:t>
      </w:r>
      <w:proofErr w:type="gramEnd"/>
      <w:r w:rsidRPr="00CF696D">
        <w:rPr>
          <w:rFonts w:asciiTheme="minorBidi" w:hAnsiTheme="minorBidi"/>
          <w:color w:val="44546A" w:themeColor="text2"/>
        </w:rPr>
        <w:t xml:space="preserve"> for estimation. Participation in the course requires a background in elementary econometrics or statistics. Elementary knowledge of standard software packages (e.g. STATA) is welcome; the same holds true for a background in </w:t>
      </w:r>
      <w:proofErr w:type="spellStart"/>
      <w:r w:rsidRPr="00CF696D">
        <w:rPr>
          <w:rFonts w:asciiTheme="minorBidi" w:hAnsiTheme="minorBidi"/>
          <w:color w:val="44546A" w:themeColor="text2"/>
        </w:rPr>
        <w:t>labour</w:t>
      </w:r>
      <w:proofErr w:type="spellEnd"/>
      <w:r w:rsidRPr="00CF696D">
        <w:rPr>
          <w:rFonts w:asciiTheme="minorBidi" w:hAnsiTheme="minorBidi"/>
          <w:color w:val="44546A" w:themeColor="text2"/>
        </w:rPr>
        <w:t xml:space="preserve"> economics.</w:t>
      </w:r>
    </w:p>
    <w:p w:rsidR="00C112D7" w:rsidRPr="00CF696D" w:rsidRDefault="00C112D7" w:rsidP="00CF696D">
      <w:pPr>
        <w:tabs>
          <w:tab w:val="decimal" w:pos="4536"/>
          <w:tab w:val="right" w:pos="8789"/>
        </w:tabs>
        <w:spacing w:after="0"/>
        <w:rPr>
          <w:rFonts w:asciiTheme="minorBidi" w:hAnsiTheme="minorBidi"/>
          <w:color w:val="44546A" w:themeColor="text2"/>
        </w:rPr>
      </w:pPr>
    </w:p>
    <w:p w:rsidR="00CF696D" w:rsidRDefault="00CF696D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F696D">
        <w:rPr>
          <w:rFonts w:asciiTheme="minorBidi" w:hAnsiTheme="minorBidi"/>
          <w:color w:val="44546A" w:themeColor="text2"/>
        </w:rPr>
        <w:t xml:space="preserve">The grade for the seminar </w:t>
      </w:r>
      <w:proofErr w:type="gramStart"/>
      <w:r w:rsidRPr="00CF696D">
        <w:rPr>
          <w:rFonts w:asciiTheme="minorBidi" w:hAnsiTheme="minorBidi"/>
          <w:color w:val="44546A" w:themeColor="text2"/>
        </w:rPr>
        <w:t>is based</w:t>
      </w:r>
      <w:proofErr w:type="gramEnd"/>
      <w:r w:rsidRPr="00CF696D">
        <w:rPr>
          <w:rFonts w:asciiTheme="minorBidi" w:hAnsiTheme="minorBidi"/>
          <w:color w:val="44546A" w:themeColor="text2"/>
        </w:rPr>
        <w:t xml:space="preserve"> on three aspects: (</w:t>
      </w:r>
      <w:proofErr w:type="spellStart"/>
      <w:r w:rsidRPr="00CF696D">
        <w:rPr>
          <w:rFonts w:asciiTheme="minorBidi" w:hAnsiTheme="minorBidi"/>
          <w:color w:val="44546A" w:themeColor="text2"/>
        </w:rPr>
        <w:t>i</w:t>
      </w:r>
      <w:proofErr w:type="spellEnd"/>
      <w:r w:rsidRPr="00CF696D">
        <w:rPr>
          <w:rFonts w:asciiTheme="minorBidi" w:hAnsiTheme="minorBidi"/>
          <w:color w:val="44546A" w:themeColor="text2"/>
        </w:rPr>
        <w:t>) participation in class; (ii) presentation of the findings in class; (iii) paper.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Part I: Theoretical and empirical background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pStyle w:val="Listenabsatz"/>
        <w:numPr>
          <w:ilvl w:val="0"/>
          <w:numId w:val="1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 xml:space="preserve">The </w:t>
      </w:r>
      <w:proofErr w:type="spellStart"/>
      <w:r w:rsidRPr="00C112D7">
        <w:rPr>
          <w:rFonts w:asciiTheme="minorBidi" w:hAnsiTheme="minorBidi"/>
          <w:color w:val="44546A" w:themeColor="text2"/>
        </w:rPr>
        <w:t>labour</w:t>
      </w:r>
      <w:proofErr w:type="spellEnd"/>
      <w:r w:rsidRPr="00C112D7">
        <w:rPr>
          <w:rFonts w:asciiTheme="minorBidi" w:hAnsiTheme="minorBidi"/>
          <w:color w:val="44546A" w:themeColor="text2"/>
        </w:rPr>
        <w:t xml:space="preserve"> market effects of immigration in models with perfect and imperfect </w:t>
      </w:r>
      <w:proofErr w:type="spellStart"/>
      <w:r w:rsidRPr="00C112D7">
        <w:rPr>
          <w:rFonts w:asciiTheme="minorBidi" w:hAnsiTheme="minorBidi"/>
          <w:color w:val="44546A" w:themeColor="text2"/>
        </w:rPr>
        <w:t>labour</w:t>
      </w:r>
      <w:proofErr w:type="spellEnd"/>
      <w:r w:rsidRPr="00C112D7">
        <w:rPr>
          <w:rFonts w:asciiTheme="minorBidi" w:hAnsiTheme="minorBidi"/>
          <w:color w:val="44546A" w:themeColor="text2"/>
        </w:rPr>
        <w:t xml:space="preserve"> markets: an introduction</w:t>
      </w:r>
    </w:p>
    <w:p w:rsidR="00C112D7" w:rsidRDefault="00C112D7" w:rsidP="00C112D7">
      <w:pPr>
        <w:pStyle w:val="Listenabsatz"/>
        <w:numPr>
          <w:ilvl w:val="0"/>
          <w:numId w:val="1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 xml:space="preserve"> Empirical approaches estimating the </w:t>
      </w:r>
      <w:proofErr w:type="spellStart"/>
      <w:r w:rsidRPr="00C112D7">
        <w:rPr>
          <w:rFonts w:asciiTheme="minorBidi" w:hAnsiTheme="minorBidi"/>
          <w:color w:val="44546A" w:themeColor="text2"/>
        </w:rPr>
        <w:t>labour</w:t>
      </w:r>
      <w:proofErr w:type="spellEnd"/>
      <w:r w:rsidRPr="00C112D7">
        <w:rPr>
          <w:rFonts w:asciiTheme="minorBidi" w:hAnsiTheme="minorBidi"/>
          <w:color w:val="44546A" w:themeColor="text2"/>
        </w:rPr>
        <w:t xml:space="preserve"> market effects of immigration</w:t>
      </w:r>
    </w:p>
    <w:p w:rsidR="00C112D7" w:rsidRDefault="00C112D7" w:rsidP="00C112D7">
      <w:pPr>
        <w:pStyle w:val="Listenabsatz"/>
        <w:numPr>
          <w:ilvl w:val="1"/>
          <w:numId w:val="1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The spatial</w:t>
      </w:r>
      <w:r>
        <w:rPr>
          <w:rFonts w:asciiTheme="minorBidi" w:hAnsiTheme="minorBidi"/>
          <w:color w:val="44546A" w:themeColor="text2"/>
        </w:rPr>
        <w:t>-</w:t>
      </w:r>
      <w:r w:rsidRPr="00C112D7">
        <w:rPr>
          <w:rFonts w:asciiTheme="minorBidi" w:hAnsiTheme="minorBidi"/>
          <w:color w:val="44546A" w:themeColor="text2"/>
        </w:rPr>
        <w:t>correlation approac</w:t>
      </w:r>
      <w:r>
        <w:rPr>
          <w:rFonts w:asciiTheme="minorBidi" w:hAnsiTheme="minorBidi"/>
          <w:color w:val="44546A" w:themeColor="text2"/>
        </w:rPr>
        <w:t>h</w:t>
      </w:r>
    </w:p>
    <w:p w:rsidR="00C112D7" w:rsidRDefault="00C112D7" w:rsidP="00C112D7">
      <w:pPr>
        <w:pStyle w:val="Listenabsatz"/>
        <w:numPr>
          <w:ilvl w:val="1"/>
          <w:numId w:val="1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The national-level approach</w:t>
      </w:r>
    </w:p>
    <w:p w:rsidR="00C112D7" w:rsidRDefault="00C112D7" w:rsidP="00C112D7">
      <w:pPr>
        <w:pStyle w:val="Listenabsatz"/>
        <w:numPr>
          <w:ilvl w:val="1"/>
          <w:numId w:val="1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Other empirical approaches and controversies</w:t>
      </w:r>
    </w:p>
    <w:p w:rsidR="00C112D7" w:rsidRP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Part II: Introduction into econometrics and software</w:t>
      </w:r>
    </w:p>
    <w:p w:rsidR="00C112D7" w:rsidRDefault="00C112D7" w:rsidP="00C112D7">
      <w:pPr>
        <w:pStyle w:val="Listenabsatz"/>
        <w:tabs>
          <w:tab w:val="decimal" w:pos="4536"/>
          <w:tab w:val="right" w:pos="8789"/>
        </w:tabs>
        <w:spacing w:after="0" w:line="276" w:lineRule="auto"/>
        <w:ind w:left="360"/>
        <w:rPr>
          <w:rFonts w:asciiTheme="minorBidi" w:hAnsiTheme="minorBidi"/>
          <w:color w:val="44546A" w:themeColor="text2"/>
        </w:rPr>
      </w:pPr>
    </w:p>
    <w:p w:rsidR="00C112D7" w:rsidRPr="00C112D7" w:rsidRDefault="00C112D7" w:rsidP="00C112D7">
      <w:pPr>
        <w:pStyle w:val="Listenabsatz"/>
        <w:numPr>
          <w:ilvl w:val="0"/>
          <w:numId w:val="2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Introduction into STATA</w:t>
      </w:r>
    </w:p>
    <w:p w:rsidR="00C112D7" w:rsidRPr="00C112D7" w:rsidRDefault="00C112D7" w:rsidP="00C112D7">
      <w:pPr>
        <w:pStyle w:val="Listenabsatz"/>
        <w:numPr>
          <w:ilvl w:val="0"/>
          <w:numId w:val="2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Linear regression models with fixed effects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Part III: Empirical application</w:t>
      </w:r>
    </w:p>
    <w:p w:rsidR="00C112D7" w:rsidRP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pStyle w:val="Listenabsatz"/>
        <w:numPr>
          <w:ilvl w:val="0"/>
          <w:numId w:val="3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Loading data and creating variables</w:t>
      </w:r>
    </w:p>
    <w:p w:rsidR="00C112D7" w:rsidRDefault="00C112D7" w:rsidP="00C112D7">
      <w:pPr>
        <w:pStyle w:val="Listenabsatz"/>
        <w:numPr>
          <w:ilvl w:val="0"/>
          <w:numId w:val="3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Descriptive analysis of the dataset</w:t>
      </w:r>
    </w:p>
    <w:p w:rsidR="00C112D7" w:rsidRDefault="00C112D7" w:rsidP="00C112D7">
      <w:pPr>
        <w:pStyle w:val="Listenabsatz"/>
        <w:numPr>
          <w:ilvl w:val="0"/>
          <w:numId w:val="3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Estimation of the wage effects in a fixed-effects framework</w:t>
      </w:r>
    </w:p>
    <w:p w:rsidR="00C112D7" w:rsidRDefault="00C112D7" w:rsidP="00C112D7">
      <w:pPr>
        <w:pStyle w:val="Listenabsatz"/>
        <w:numPr>
          <w:ilvl w:val="0"/>
          <w:numId w:val="3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Estimation of the employment effects in a fixed-effects framework</w:t>
      </w:r>
    </w:p>
    <w:p w:rsidR="00C112D7" w:rsidRDefault="00C112D7" w:rsidP="00C112D7">
      <w:pPr>
        <w:pStyle w:val="Listenabsatz"/>
        <w:numPr>
          <w:ilvl w:val="0"/>
          <w:numId w:val="3"/>
        </w:num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>Presentation of findings in class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3F0663" w:rsidRDefault="00C112D7" w:rsidP="00C112D7">
      <w:pPr>
        <w:tabs>
          <w:tab w:val="decimal" w:pos="4536"/>
          <w:tab w:val="right" w:pos="8789"/>
        </w:tabs>
        <w:spacing w:after="0" w:line="276" w:lineRule="auto"/>
        <w:jc w:val="center"/>
        <w:rPr>
          <w:rFonts w:asciiTheme="minorBidi" w:hAnsiTheme="minorBidi"/>
          <w:b/>
          <w:color w:val="44546A" w:themeColor="text2"/>
          <w:u w:val="single"/>
        </w:rPr>
      </w:pPr>
      <w:r w:rsidRPr="003F0663">
        <w:rPr>
          <w:rFonts w:asciiTheme="minorBidi" w:hAnsiTheme="minorBidi"/>
          <w:b/>
          <w:color w:val="44546A" w:themeColor="text2"/>
          <w:u w:val="single"/>
        </w:rPr>
        <w:t>Time schedule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AE4135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>May 4</w:t>
      </w:r>
      <w:r w:rsidR="00C112D7" w:rsidRPr="00C112D7">
        <w:rPr>
          <w:rFonts w:asciiTheme="minorBidi" w:hAnsiTheme="minorBidi"/>
          <w:color w:val="44546A" w:themeColor="text2"/>
        </w:rPr>
        <w:t>, 201</w:t>
      </w:r>
      <w:r w:rsidR="00355916">
        <w:rPr>
          <w:rFonts w:asciiTheme="minorBidi" w:hAnsiTheme="minorBidi"/>
          <w:color w:val="44546A" w:themeColor="text2"/>
        </w:rPr>
        <w:t>9</w:t>
      </w:r>
      <w:r w:rsidR="00C112D7" w:rsidRPr="00C112D7">
        <w:rPr>
          <w:rFonts w:asciiTheme="minorBidi" w:hAnsiTheme="minorBidi"/>
          <w:color w:val="44546A" w:themeColor="text2"/>
        </w:rPr>
        <w:t>:</w:t>
      </w:r>
      <w:r w:rsidR="009D4BA5">
        <w:rPr>
          <w:rFonts w:asciiTheme="minorBidi" w:hAnsiTheme="minorBidi"/>
          <w:color w:val="44546A" w:themeColor="text2"/>
        </w:rPr>
        <w:tab/>
      </w:r>
      <w:r w:rsidR="00C112D7">
        <w:rPr>
          <w:rFonts w:asciiTheme="minorBidi" w:hAnsiTheme="minorBidi"/>
          <w:color w:val="44546A" w:themeColor="text2"/>
        </w:rPr>
        <w:t xml:space="preserve"> </w:t>
      </w:r>
      <w:r w:rsidR="00C112D7">
        <w:rPr>
          <w:rFonts w:asciiTheme="minorBidi" w:hAnsiTheme="minorBidi"/>
          <w:color w:val="44546A" w:themeColor="text2"/>
        </w:rPr>
        <w:tab/>
      </w:r>
      <w:r w:rsidR="00C112D7">
        <w:rPr>
          <w:rFonts w:asciiTheme="minorBidi" w:hAnsiTheme="minorBidi"/>
          <w:color w:val="44546A" w:themeColor="text2"/>
        </w:rPr>
        <w:tab/>
      </w:r>
      <w:r w:rsidR="00C112D7" w:rsidRPr="00C112D7">
        <w:rPr>
          <w:rFonts w:asciiTheme="minorBidi" w:hAnsiTheme="minorBidi"/>
          <w:color w:val="44546A" w:themeColor="text2"/>
        </w:rPr>
        <w:t>Introduction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AE4135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>May 11</w:t>
      </w:r>
      <w:r w:rsidR="00C112D7" w:rsidRPr="00C112D7">
        <w:rPr>
          <w:rFonts w:asciiTheme="minorBidi" w:hAnsiTheme="minorBidi"/>
          <w:color w:val="44546A" w:themeColor="text2"/>
        </w:rPr>
        <w:t>, 201</w:t>
      </w:r>
      <w:r w:rsidR="00355916">
        <w:rPr>
          <w:rFonts w:asciiTheme="minorBidi" w:hAnsiTheme="minorBidi"/>
          <w:color w:val="44546A" w:themeColor="text2"/>
        </w:rPr>
        <w:t>9</w:t>
      </w:r>
      <w:r w:rsidR="00C112D7" w:rsidRPr="00C112D7">
        <w:rPr>
          <w:rFonts w:asciiTheme="minorBidi" w:hAnsiTheme="minorBidi"/>
          <w:color w:val="44546A" w:themeColor="text2"/>
        </w:rPr>
        <w:t>:</w:t>
      </w:r>
      <w:r w:rsidR="00C112D7">
        <w:rPr>
          <w:rFonts w:asciiTheme="minorBidi" w:hAnsiTheme="minorBidi"/>
          <w:color w:val="44546A" w:themeColor="text2"/>
        </w:rPr>
        <w:tab/>
        <w:t xml:space="preserve"> </w:t>
      </w:r>
      <w:r w:rsidR="00C112D7">
        <w:rPr>
          <w:rFonts w:asciiTheme="minorBidi" w:hAnsiTheme="minorBidi"/>
          <w:color w:val="44546A" w:themeColor="text2"/>
        </w:rPr>
        <w:tab/>
      </w:r>
      <w:r w:rsidR="00321A79">
        <w:rPr>
          <w:rFonts w:asciiTheme="minorBidi" w:hAnsiTheme="minorBidi"/>
          <w:color w:val="44546A" w:themeColor="text2"/>
        </w:rPr>
        <w:tab/>
      </w:r>
      <w:r w:rsidR="00C112D7">
        <w:rPr>
          <w:rFonts w:asciiTheme="minorBidi" w:hAnsiTheme="minorBidi"/>
          <w:color w:val="44546A" w:themeColor="text2"/>
        </w:rPr>
        <w:t>Literature Review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>May</w:t>
      </w:r>
      <w:r w:rsidRPr="00C112D7">
        <w:rPr>
          <w:rFonts w:asciiTheme="minorBidi" w:hAnsiTheme="minorBidi"/>
          <w:color w:val="44546A" w:themeColor="text2"/>
        </w:rPr>
        <w:t xml:space="preserve"> </w:t>
      </w:r>
      <w:r w:rsidR="00AE4135">
        <w:rPr>
          <w:rFonts w:asciiTheme="minorBidi" w:hAnsiTheme="minorBidi"/>
          <w:color w:val="44546A" w:themeColor="text2"/>
        </w:rPr>
        <w:t>25</w:t>
      </w:r>
      <w:r w:rsidRPr="00C112D7">
        <w:rPr>
          <w:rFonts w:asciiTheme="minorBidi" w:hAnsiTheme="minorBidi"/>
          <w:color w:val="44546A" w:themeColor="text2"/>
        </w:rPr>
        <w:t>, 201</w:t>
      </w:r>
      <w:r w:rsidR="00321A79">
        <w:rPr>
          <w:rFonts w:asciiTheme="minorBidi" w:hAnsiTheme="minorBidi"/>
          <w:color w:val="44546A" w:themeColor="text2"/>
        </w:rPr>
        <w:t>9</w:t>
      </w:r>
      <w:r w:rsidRPr="00C112D7">
        <w:rPr>
          <w:rFonts w:asciiTheme="minorBidi" w:hAnsiTheme="minorBidi"/>
          <w:color w:val="44546A" w:themeColor="text2"/>
        </w:rPr>
        <w:t>:</w:t>
      </w:r>
      <w:r>
        <w:rPr>
          <w:rFonts w:asciiTheme="minorBidi" w:hAnsiTheme="minorBidi"/>
          <w:color w:val="44546A" w:themeColor="text2"/>
        </w:rPr>
        <w:tab/>
      </w:r>
      <w:r>
        <w:rPr>
          <w:rFonts w:asciiTheme="minorBidi" w:hAnsiTheme="minorBidi"/>
          <w:color w:val="44546A" w:themeColor="text2"/>
        </w:rPr>
        <w:tab/>
      </w:r>
      <w:r>
        <w:rPr>
          <w:rFonts w:asciiTheme="minorBidi" w:hAnsiTheme="minorBidi"/>
          <w:color w:val="44546A" w:themeColor="text2"/>
        </w:rPr>
        <w:tab/>
      </w:r>
      <w:r w:rsidRPr="00C112D7">
        <w:rPr>
          <w:rFonts w:asciiTheme="minorBidi" w:hAnsiTheme="minorBidi"/>
          <w:color w:val="44546A" w:themeColor="text2"/>
        </w:rPr>
        <w:t>Introduction into STATA I</w:t>
      </w:r>
    </w:p>
    <w:p w:rsidR="00C112D7" w:rsidRDefault="00C112D7" w:rsidP="00C112D7">
      <w:pPr>
        <w:tabs>
          <w:tab w:val="decimal" w:pos="4536"/>
          <w:tab w:val="right" w:pos="8789"/>
        </w:tabs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 xml:space="preserve">June </w:t>
      </w:r>
      <w:r w:rsidR="009D4BA5">
        <w:rPr>
          <w:rFonts w:asciiTheme="minorBidi" w:hAnsiTheme="minorBidi"/>
          <w:color w:val="44546A" w:themeColor="text2"/>
        </w:rPr>
        <w:t>1</w:t>
      </w:r>
      <w:r w:rsidR="00AE4135">
        <w:rPr>
          <w:rFonts w:asciiTheme="minorBidi" w:hAnsiTheme="minorBidi"/>
          <w:color w:val="44546A" w:themeColor="text2"/>
        </w:rPr>
        <w:t>5</w:t>
      </w:r>
      <w:r w:rsidRPr="00C112D7">
        <w:rPr>
          <w:rFonts w:asciiTheme="minorBidi" w:hAnsiTheme="minorBidi"/>
          <w:color w:val="44546A" w:themeColor="text2"/>
        </w:rPr>
        <w:t>, 201</w:t>
      </w:r>
      <w:r w:rsidR="00321A79">
        <w:rPr>
          <w:rFonts w:asciiTheme="minorBidi" w:hAnsiTheme="minorBidi"/>
          <w:color w:val="44546A" w:themeColor="text2"/>
        </w:rPr>
        <w:t>9</w:t>
      </w:r>
      <w:r w:rsidRPr="00C112D7">
        <w:rPr>
          <w:rFonts w:asciiTheme="minorBidi" w:hAnsiTheme="minorBidi"/>
          <w:color w:val="44546A" w:themeColor="text2"/>
        </w:rPr>
        <w:t xml:space="preserve">: </w:t>
      </w:r>
      <w:r>
        <w:rPr>
          <w:rFonts w:asciiTheme="minorBidi" w:hAnsiTheme="minorBidi"/>
          <w:color w:val="44546A" w:themeColor="text2"/>
        </w:rPr>
        <w:tab/>
      </w:r>
      <w:r w:rsidR="00DF011C">
        <w:rPr>
          <w:rFonts w:asciiTheme="minorBidi" w:hAnsiTheme="minorBidi"/>
          <w:color w:val="44546A" w:themeColor="text2"/>
        </w:rPr>
        <w:tab/>
      </w:r>
      <w:r w:rsidRPr="00C112D7">
        <w:rPr>
          <w:rFonts w:asciiTheme="minorBidi" w:hAnsiTheme="minorBidi"/>
          <w:color w:val="44546A" w:themeColor="text2"/>
        </w:rPr>
        <w:t>Introduction into STATA II</w:t>
      </w:r>
    </w:p>
    <w:p w:rsid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AE4135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>June 29</w:t>
      </w:r>
      <w:r w:rsidR="00C112D7" w:rsidRPr="00C112D7">
        <w:rPr>
          <w:rFonts w:asciiTheme="minorBidi" w:hAnsiTheme="minorBidi"/>
          <w:color w:val="44546A" w:themeColor="text2"/>
        </w:rPr>
        <w:t>, 201</w:t>
      </w:r>
      <w:r w:rsidR="00321A79">
        <w:rPr>
          <w:rFonts w:asciiTheme="minorBidi" w:hAnsiTheme="minorBidi"/>
          <w:color w:val="44546A" w:themeColor="text2"/>
        </w:rPr>
        <w:t>9</w:t>
      </w:r>
      <w:r w:rsidR="00C112D7" w:rsidRPr="00C112D7">
        <w:rPr>
          <w:rFonts w:asciiTheme="minorBidi" w:hAnsiTheme="minorBidi"/>
          <w:color w:val="44546A" w:themeColor="text2"/>
        </w:rPr>
        <w:t xml:space="preserve">: </w:t>
      </w:r>
      <w:r w:rsidR="00C112D7">
        <w:rPr>
          <w:rFonts w:asciiTheme="minorBidi" w:hAnsiTheme="minorBidi"/>
          <w:color w:val="44546A" w:themeColor="text2"/>
        </w:rPr>
        <w:tab/>
      </w:r>
      <w:r w:rsidR="00C112D7">
        <w:rPr>
          <w:rFonts w:asciiTheme="minorBidi" w:hAnsiTheme="minorBidi"/>
          <w:color w:val="44546A" w:themeColor="text2"/>
        </w:rPr>
        <w:tab/>
      </w:r>
      <w:r w:rsidR="00C112D7" w:rsidRPr="00C112D7">
        <w:rPr>
          <w:rFonts w:asciiTheme="minorBidi" w:hAnsiTheme="minorBidi"/>
          <w:color w:val="44546A" w:themeColor="text2"/>
        </w:rPr>
        <w:t>Descriptive data analysis</w:t>
      </w:r>
    </w:p>
    <w:p w:rsid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P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 w:rsidRPr="00C112D7">
        <w:rPr>
          <w:rFonts w:asciiTheme="minorBidi" w:hAnsiTheme="minorBidi"/>
          <w:color w:val="44546A" w:themeColor="text2"/>
        </w:rPr>
        <w:t xml:space="preserve">July </w:t>
      </w:r>
      <w:r w:rsidR="00AE4135">
        <w:rPr>
          <w:rFonts w:asciiTheme="minorBidi" w:hAnsiTheme="minorBidi"/>
          <w:color w:val="44546A" w:themeColor="text2"/>
        </w:rPr>
        <w:t>13</w:t>
      </w:r>
      <w:r w:rsidRPr="00C112D7">
        <w:rPr>
          <w:rFonts w:asciiTheme="minorBidi" w:hAnsiTheme="minorBidi"/>
          <w:color w:val="44546A" w:themeColor="text2"/>
        </w:rPr>
        <w:t>, 201</w:t>
      </w:r>
      <w:r w:rsidR="00321A79">
        <w:rPr>
          <w:rFonts w:asciiTheme="minorBidi" w:hAnsiTheme="minorBidi"/>
          <w:color w:val="44546A" w:themeColor="text2"/>
        </w:rPr>
        <w:t>9</w:t>
      </w:r>
      <w:r w:rsidRPr="00C112D7">
        <w:rPr>
          <w:rFonts w:asciiTheme="minorBidi" w:hAnsiTheme="minorBidi"/>
          <w:color w:val="44546A" w:themeColor="text2"/>
        </w:rPr>
        <w:t>:</w:t>
      </w:r>
      <w:r>
        <w:rPr>
          <w:rFonts w:asciiTheme="minorBidi" w:hAnsiTheme="minorBidi"/>
          <w:color w:val="44546A" w:themeColor="text2"/>
        </w:rPr>
        <w:tab/>
      </w:r>
      <w:r w:rsidRPr="00C112D7">
        <w:rPr>
          <w:rFonts w:asciiTheme="minorBidi" w:hAnsiTheme="minorBidi"/>
          <w:color w:val="44546A" w:themeColor="text2"/>
        </w:rPr>
        <w:t xml:space="preserve"> </w:t>
      </w:r>
      <w:r>
        <w:rPr>
          <w:rFonts w:asciiTheme="minorBidi" w:hAnsiTheme="minorBidi"/>
          <w:color w:val="44546A" w:themeColor="text2"/>
        </w:rPr>
        <w:tab/>
      </w:r>
      <w:r>
        <w:rPr>
          <w:rFonts w:asciiTheme="minorBidi" w:hAnsiTheme="minorBidi"/>
          <w:color w:val="44546A" w:themeColor="text2"/>
        </w:rPr>
        <w:tab/>
      </w:r>
      <w:r w:rsidRPr="00C112D7">
        <w:rPr>
          <w:rFonts w:asciiTheme="minorBidi" w:hAnsiTheme="minorBidi"/>
          <w:color w:val="44546A" w:themeColor="text2"/>
        </w:rPr>
        <w:t>Regression analysis</w:t>
      </w:r>
    </w:p>
    <w:p w:rsidR="00C112D7" w:rsidRDefault="00C112D7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C112D7" w:rsidRDefault="00AE4135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  <w:r>
        <w:rPr>
          <w:rFonts w:asciiTheme="minorBidi" w:hAnsiTheme="minorBidi"/>
          <w:color w:val="44546A" w:themeColor="text2"/>
        </w:rPr>
        <w:t>July 27</w:t>
      </w:r>
      <w:r w:rsidR="00C112D7" w:rsidRPr="00C112D7">
        <w:rPr>
          <w:rFonts w:asciiTheme="minorBidi" w:hAnsiTheme="minorBidi"/>
          <w:color w:val="44546A" w:themeColor="text2"/>
        </w:rPr>
        <w:t>, 201</w:t>
      </w:r>
      <w:r w:rsidR="00321A79">
        <w:rPr>
          <w:rFonts w:asciiTheme="minorBidi" w:hAnsiTheme="minorBidi"/>
          <w:color w:val="44546A" w:themeColor="text2"/>
        </w:rPr>
        <w:t>9</w:t>
      </w:r>
      <w:r w:rsidR="00C112D7" w:rsidRPr="00C112D7">
        <w:rPr>
          <w:rFonts w:asciiTheme="minorBidi" w:hAnsiTheme="minorBidi"/>
          <w:color w:val="44546A" w:themeColor="text2"/>
        </w:rPr>
        <w:t xml:space="preserve">: </w:t>
      </w:r>
      <w:r w:rsidR="00C112D7">
        <w:rPr>
          <w:rFonts w:asciiTheme="minorBidi" w:hAnsiTheme="minorBidi"/>
          <w:color w:val="44546A" w:themeColor="text2"/>
        </w:rPr>
        <w:tab/>
      </w:r>
      <w:r w:rsidR="00C112D7">
        <w:rPr>
          <w:rFonts w:asciiTheme="minorBidi" w:hAnsiTheme="minorBidi"/>
          <w:color w:val="44546A" w:themeColor="text2"/>
        </w:rPr>
        <w:tab/>
      </w:r>
      <w:r w:rsidR="00C112D7" w:rsidRPr="00C112D7">
        <w:rPr>
          <w:rFonts w:asciiTheme="minorBidi" w:hAnsiTheme="minorBidi"/>
          <w:color w:val="44546A" w:themeColor="text2"/>
        </w:rPr>
        <w:t>Final presentation in class</w:t>
      </w:r>
    </w:p>
    <w:p w:rsidR="00625082" w:rsidRDefault="00625082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625082" w:rsidRDefault="00625082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625082" w:rsidRDefault="00625082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625082" w:rsidRDefault="00625082" w:rsidP="00C112D7">
      <w:pPr>
        <w:spacing w:after="0" w:line="276" w:lineRule="auto"/>
        <w:rPr>
          <w:rFonts w:asciiTheme="minorBidi" w:hAnsiTheme="minorBidi"/>
          <w:color w:val="44546A" w:themeColor="text2"/>
        </w:rPr>
      </w:pPr>
    </w:p>
    <w:p w:rsidR="00CF696D" w:rsidRDefault="00625082" w:rsidP="00C112D7">
      <w:r>
        <w:rPr>
          <w:rStyle w:val="tlid-translation"/>
          <w:lang w:val="en"/>
        </w:rPr>
        <w:t>Attention: With regard to the start of the seminar, always note the information on our website</w:t>
      </w:r>
      <w:proofErr w:type="gramStart"/>
      <w:r>
        <w:rPr>
          <w:rStyle w:val="tlid-translation"/>
          <w:lang w:val="en"/>
        </w:rPr>
        <w:t>!!</w:t>
      </w:r>
      <w:bookmarkStart w:id="0" w:name="_GoBack"/>
      <w:bookmarkEnd w:id="0"/>
      <w:proofErr w:type="gramEnd"/>
    </w:p>
    <w:p w:rsidR="005E0DE5" w:rsidRPr="00CF696D" w:rsidRDefault="00CF696D">
      <w:r w:rsidRPr="00CF696D">
        <w:t xml:space="preserve"> </w:t>
      </w:r>
    </w:p>
    <w:sectPr w:rsidR="005E0DE5" w:rsidRPr="00CF696D" w:rsidSect="00C112D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7C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695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55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D"/>
    <w:rsid w:val="00047B1E"/>
    <w:rsid w:val="000E3F2C"/>
    <w:rsid w:val="002301E6"/>
    <w:rsid w:val="00321A79"/>
    <w:rsid w:val="00355916"/>
    <w:rsid w:val="003F0663"/>
    <w:rsid w:val="00531699"/>
    <w:rsid w:val="00580681"/>
    <w:rsid w:val="00625082"/>
    <w:rsid w:val="00755433"/>
    <w:rsid w:val="009D4BA5"/>
    <w:rsid w:val="00AE4135"/>
    <w:rsid w:val="00AE603F"/>
    <w:rsid w:val="00B5507E"/>
    <w:rsid w:val="00C112D7"/>
    <w:rsid w:val="00C21389"/>
    <w:rsid w:val="00C95DEC"/>
    <w:rsid w:val="00CF696D"/>
    <w:rsid w:val="00D04763"/>
    <w:rsid w:val="00D06CC1"/>
    <w:rsid w:val="00D67336"/>
    <w:rsid w:val="00D82CDD"/>
    <w:rsid w:val="00D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4979"/>
  <w15:chartTrackingRefBased/>
  <w15:docId w15:val="{475BFB8A-10AE-41AB-8B3A-42572A0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12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82"/>
    <w:rPr>
      <w:rFonts w:ascii="Segoe UI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bsatz-Standardschriftart"/>
    <w:rsid w:val="0062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Vallizadeh</dc:creator>
  <cp:keywords/>
  <dc:description/>
  <cp:lastModifiedBy>Koch, Petra</cp:lastModifiedBy>
  <cp:revision>2</cp:revision>
  <cp:lastPrinted>2020-04-22T10:21:00Z</cp:lastPrinted>
  <dcterms:created xsi:type="dcterms:W3CDTF">2020-04-22T10:25:00Z</dcterms:created>
  <dcterms:modified xsi:type="dcterms:W3CDTF">2020-04-22T10:25:00Z</dcterms:modified>
</cp:coreProperties>
</file>