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FD" w:rsidRDefault="00B446FD" w:rsidP="00B446FD">
      <w:pPr>
        <w:pStyle w:val="Standard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Verarbeitungstätigkeit nach Art. 30 Abs. 1 DSGVO</w:t>
      </w:r>
    </w:p>
    <w:p w:rsidR="00B446FD" w:rsidRDefault="00B446FD" w:rsidP="00B446FD">
      <w:pPr>
        <w:spacing w:after="0" w:line="240" w:lineRule="auto"/>
        <w:rPr>
          <w:rFonts w:ascii="Calibri" w:eastAsia="Times New Roman" w:hAnsi="Calibri" w:cs="Calibri"/>
          <w:b/>
          <w:bCs/>
          <w:lang w:eastAsia="de-DE"/>
        </w:rPr>
      </w:pPr>
    </w:p>
    <w:p w:rsidR="00B446FD" w:rsidRDefault="00B446FD" w:rsidP="00B446FD">
      <w:pPr>
        <w:spacing w:after="0" w:line="240" w:lineRule="auto"/>
        <w:rPr>
          <w:rFonts w:ascii="Calibri" w:eastAsia="Times New Roman" w:hAnsi="Calibri" w:cs="Calibri"/>
          <w:b/>
          <w:bCs/>
          <w:lang w:eastAsia="de-DE"/>
        </w:rPr>
      </w:pPr>
    </w:p>
    <w:p w:rsidR="00B446FD" w:rsidRPr="00B446FD" w:rsidRDefault="00B446FD" w:rsidP="00B446FD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B446FD">
        <w:rPr>
          <w:rFonts w:ascii="Calibri" w:eastAsia="Times New Roman" w:hAnsi="Calibri" w:cs="Calibri"/>
          <w:b/>
          <w:bCs/>
          <w:lang w:eastAsia="de-DE"/>
        </w:rPr>
        <w:t xml:space="preserve">1. Allgemeine Angaben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6"/>
        <w:gridCol w:w="1366"/>
      </w:tblGrid>
      <w:tr w:rsidR="00B446FD" w:rsidRPr="00B446FD" w:rsidTr="00B446FD">
        <w:tc>
          <w:tcPr>
            <w:tcW w:w="93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Bezeichnung der Verarbeitungstätigkeit </w:t>
            </w:r>
          </w:p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color w:val="000000"/>
                <w:highlight w:val="yellow"/>
                <w:lang w:eastAsia="de-DE"/>
              </w:rPr>
              <w:t>Video</w:t>
            </w:r>
            <w:r w:rsidR="00BF39AF" w:rsidRPr="00BF39AF">
              <w:rPr>
                <w:rFonts w:ascii="Calibri" w:eastAsia="Times New Roman" w:hAnsi="Calibri" w:cs="Calibri"/>
                <w:color w:val="000000"/>
                <w:highlight w:val="yellow"/>
                <w:lang w:eastAsia="de-DE"/>
              </w:rPr>
              <w:t>- oder Web</w:t>
            </w:r>
            <w:r w:rsidRPr="00B446FD">
              <w:rPr>
                <w:rFonts w:ascii="Calibri" w:eastAsia="Times New Roman" w:hAnsi="Calibri" w:cs="Calibri"/>
                <w:color w:val="000000"/>
                <w:highlight w:val="yellow"/>
                <w:lang w:eastAsia="de-DE"/>
              </w:rPr>
              <w:t>konferenz</w:t>
            </w:r>
          </w:p>
        </w:tc>
        <w:tc>
          <w:tcPr>
            <w:tcW w:w="15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Stand: </w:t>
            </w:r>
          </w:p>
          <w:p w:rsidR="00B446FD" w:rsidRPr="00B446FD" w:rsidRDefault="00BF39AF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F39AF">
              <w:rPr>
                <w:rFonts w:ascii="Calibri" w:eastAsia="Times New Roman" w:hAnsi="Calibri" w:cs="Calibri"/>
                <w:highlight w:val="yellow"/>
                <w:lang w:eastAsia="de-DE"/>
              </w:rPr>
              <w:t>Datum</w:t>
            </w:r>
            <w:bookmarkStart w:id="0" w:name="_GoBack"/>
            <w:bookmarkEnd w:id="0"/>
          </w:p>
        </w:tc>
      </w:tr>
      <w:tr w:rsidR="00B446FD" w:rsidRPr="00B446FD" w:rsidTr="00B446FD">
        <w:tc>
          <w:tcPr>
            <w:tcW w:w="93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Behörde oder sonstige öffentliche Stelle, in denen die Verarbeitungstätigkeit erfolgt (Postanschrift, E-Mail-Adresse, Telefonnummer) </w:t>
            </w:r>
          </w:p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 xml:space="preserve">Otto-Friedrich-Universität Bamberg, Kapuzinerstraße 16, 96047 Bamberg, </w:t>
            </w:r>
          </w:p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>Telefon: 0951 863-0, E-Mail: post@uni-bamberg.de</w:t>
            </w:r>
          </w:p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de-DE"/>
              </w:rPr>
            </w:pPr>
            <w:r w:rsidRPr="00B446FD">
              <w:rPr>
                <w:rFonts w:ascii="Calibri" w:hAnsi="Calibri" w:cs="Calibri"/>
                <w:highlight w:val="yellow"/>
              </w:rPr>
              <w:t xml:space="preserve">Einrichtung, </w:t>
            </w:r>
            <w:r w:rsidRPr="00B446FD">
              <w:rPr>
                <w:rFonts w:ascii="Calibri" w:hAnsi="Calibri" w:cs="Calibri"/>
                <w:highlight w:val="yellow"/>
              </w:rPr>
              <w:t>Name und Kontaktdaten de</w:t>
            </w:r>
            <w:r w:rsidRPr="00B446FD">
              <w:rPr>
                <w:rFonts w:ascii="Calibri" w:hAnsi="Calibri" w:cs="Calibri"/>
                <w:highlight w:val="yellow"/>
              </w:rPr>
              <w:t>r</w:t>
            </w:r>
            <w:r w:rsidRPr="00B446FD">
              <w:rPr>
                <w:rFonts w:ascii="Calibri" w:hAnsi="Calibri" w:cs="Calibri"/>
                <w:highlight w:val="yellow"/>
              </w:rPr>
              <w:t xml:space="preserve"> </w:t>
            </w:r>
            <w:r w:rsidRPr="00B446FD">
              <w:rPr>
                <w:rFonts w:ascii="Calibri" w:hAnsi="Calibri" w:cs="Calibri"/>
                <w:highlight w:val="yellow"/>
              </w:rPr>
              <w:t>v</w:t>
            </w:r>
            <w:r w:rsidRPr="00B446FD">
              <w:rPr>
                <w:rFonts w:ascii="Calibri" w:hAnsi="Calibri" w:cs="Calibri"/>
                <w:highlight w:val="yellow"/>
              </w:rPr>
              <w:t>erantwortlichen</w:t>
            </w:r>
            <w:r w:rsidRPr="00B446FD">
              <w:rPr>
                <w:rFonts w:ascii="Calibri" w:hAnsi="Calibri" w:cs="Calibri"/>
                <w:highlight w:val="yellow"/>
              </w:rPr>
              <w:t xml:space="preserve"> Person der Einrichtung</w:t>
            </w:r>
          </w:p>
        </w:tc>
        <w:tc>
          <w:tcPr>
            <w:tcW w:w="1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</w:tr>
      <w:tr w:rsidR="00B446FD" w:rsidRPr="00B446FD" w:rsidTr="00B446FD">
        <w:tc>
          <w:tcPr>
            <w:tcW w:w="93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Name und Kontaktdaten des behördlichen Datenschutzbeauftragten (Dienstliche Postanschrift, E-Mail-Adresse, Telefonnummer) </w:t>
            </w:r>
          </w:p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446FD">
              <w:rPr>
                <w:rFonts w:ascii="Calibri" w:eastAsia="Times New Roman" w:hAnsi="Calibri" w:cs="Calibri"/>
                <w:lang w:eastAsia="de-DE"/>
              </w:rPr>
              <w:t>Loskarn</w:t>
            </w:r>
            <w:proofErr w:type="spellEnd"/>
            <w:r w:rsidRPr="00B446FD">
              <w:rPr>
                <w:rFonts w:ascii="Calibri" w:eastAsia="Times New Roman" w:hAnsi="Calibri" w:cs="Calibri"/>
                <w:lang w:eastAsia="de-DE"/>
              </w:rPr>
              <w:t>, Thomas, Kapuzinerstraße 25, Raum 02.17</w:t>
            </w:r>
          </w:p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>Telefon: 0951/863-1030, E-Mail: datenschutzbeauftragter@uni-bamberg.de</w:t>
            </w:r>
          </w:p>
        </w:tc>
        <w:tc>
          <w:tcPr>
            <w:tcW w:w="15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</w:tr>
    </w:tbl>
    <w:p w:rsidR="00B446FD" w:rsidRPr="00B446FD" w:rsidRDefault="00B446FD" w:rsidP="00B446FD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B446FD">
        <w:rPr>
          <w:rFonts w:ascii="Calibri" w:eastAsia="Times New Roman" w:hAnsi="Calibri" w:cs="Calibri"/>
          <w:b/>
          <w:bCs/>
          <w:lang w:eastAsia="de-DE"/>
        </w:rPr>
        <w:t>2. Zwecke der Verarbeitung und rechtliche Grundlage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B446FD" w:rsidRPr="00B446FD" w:rsidTr="00B446FD">
        <w:tc>
          <w:tcPr>
            <w:tcW w:w="109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>Kommunikation mit räumlich entfernten Personen</w:t>
            </w:r>
          </w:p>
        </w:tc>
      </w:tr>
      <w:tr w:rsidR="00B446FD" w:rsidRPr="00B446FD" w:rsidTr="00B446FD">
        <w:tc>
          <w:tcPr>
            <w:tcW w:w="109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 xml:space="preserve">Art. 4 Abs. 1 </w:t>
            </w:r>
            <w:proofErr w:type="spellStart"/>
            <w:r w:rsidRPr="00B446FD">
              <w:rPr>
                <w:rFonts w:ascii="Calibri" w:eastAsia="Times New Roman" w:hAnsi="Calibri" w:cs="Calibri"/>
                <w:lang w:eastAsia="de-DE"/>
              </w:rPr>
              <w:t>BayDSG</w:t>
            </w:r>
            <w:proofErr w:type="spellEnd"/>
            <w:r w:rsidRPr="00B446FD">
              <w:rPr>
                <w:rFonts w:ascii="Calibri" w:eastAsia="Times New Roman" w:hAnsi="Calibri" w:cs="Calibri"/>
                <w:lang w:eastAsia="de-DE"/>
              </w:rPr>
              <w:t xml:space="preserve"> (Aufgabenerfüllung einer öffentlichen Stelle)</w:t>
            </w:r>
          </w:p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 xml:space="preserve">Art. 2 Abs. 1 </w:t>
            </w:r>
            <w:proofErr w:type="spellStart"/>
            <w:r w:rsidRPr="00B446FD">
              <w:rPr>
                <w:rFonts w:ascii="Calibri" w:eastAsia="Times New Roman" w:hAnsi="Calibri" w:cs="Calibri"/>
                <w:lang w:eastAsia="de-DE"/>
              </w:rPr>
              <w:t>BayHSchG</w:t>
            </w:r>
            <w:proofErr w:type="spellEnd"/>
            <w:r w:rsidRPr="00B446FD">
              <w:rPr>
                <w:rFonts w:ascii="Calibri" w:eastAsia="Times New Roman" w:hAnsi="Calibri" w:cs="Calibri"/>
                <w:lang w:eastAsia="de-DE"/>
              </w:rPr>
              <w:t xml:space="preserve"> (Aufgabenerfüllung der Universität)</w:t>
            </w:r>
          </w:p>
        </w:tc>
      </w:tr>
    </w:tbl>
    <w:p w:rsidR="00B446FD" w:rsidRPr="00B446FD" w:rsidRDefault="00B446FD" w:rsidP="00B446FD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B446FD">
        <w:rPr>
          <w:rFonts w:ascii="Calibri" w:eastAsia="Times New Roman" w:hAnsi="Calibri" w:cs="Calibri"/>
          <w:b/>
          <w:bCs/>
          <w:lang w:eastAsia="de-DE"/>
        </w:rPr>
        <w:t xml:space="preserve">3. Kategorien der personenbezogenen Daten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8147"/>
      </w:tblGrid>
      <w:tr w:rsidR="00B446FD" w:rsidRPr="00B446FD" w:rsidTr="00B446FD">
        <w:tc>
          <w:tcPr>
            <w:tcW w:w="10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Lfd. Nr. </w:t>
            </w:r>
          </w:p>
        </w:tc>
        <w:tc>
          <w:tcPr>
            <w:tcW w:w="98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Bezeichnung der Daten </w:t>
            </w:r>
          </w:p>
        </w:tc>
      </w:tr>
      <w:tr w:rsidR="00B446FD" w:rsidRPr="00B446FD" w:rsidTr="00B446FD">
        <w:tc>
          <w:tcPr>
            <w:tcW w:w="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 xml:space="preserve">1 </w:t>
            </w:r>
          </w:p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 xml:space="preserve">2 </w:t>
            </w:r>
          </w:p>
        </w:tc>
        <w:tc>
          <w:tcPr>
            <w:tcW w:w="99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>Video der teilnehmenden Personen</w:t>
            </w:r>
          </w:p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>Gesprochenes Wort der teilnehmenden Personen</w:t>
            </w:r>
          </w:p>
        </w:tc>
      </w:tr>
    </w:tbl>
    <w:p w:rsidR="00B446FD" w:rsidRPr="00B446FD" w:rsidRDefault="00B446FD" w:rsidP="00B446FD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B446FD">
        <w:rPr>
          <w:rFonts w:ascii="Calibri" w:eastAsia="Times New Roman" w:hAnsi="Calibri" w:cs="Calibri"/>
          <w:b/>
          <w:bCs/>
          <w:lang w:eastAsia="de-DE"/>
        </w:rPr>
        <w:t xml:space="preserve">4. Kategorien der betroffenen Personen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7606"/>
      </w:tblGrid>
      <w:tr w:rsidR="00B446FD" w:rsidRPr="00B446FD" w:rsidTr="00B446FD">
        <w:tc>
          <w:tcPr>
            <w:tcW w:w="15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Lfd. Nr. von Abschnitt 3 </w:t>
            </w:r>
          </w:p>
        </w:tc>
        <w:tc>
          <w:tcPr>
            <w:tcW w:w="92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b/>
                <w:bCs/>
                <w:lang w:eastAsia="de-DE"/>
              </w:rPr>
              <w:t>Bezeichnung der Personen</w:t>
            </w:r>
          </w:p>
        </w:tc>
      </w:tr>
      <w:tr w:rsidR="00B446FD" w:rsidRPr="00B446FD" w:rsidTr="00B446FD">
        <w:tc>
          <w:tcPr>
            <w:tcW w:w="15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>1-2</w:t>
            </w:r>
          </w:p>
        </w:tc>
        <w:tc>
          <w:tcPr>
            <w:tcW w:w="92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highlight w:val="yellow"/>
                <w:lang w:eastAsia="de-DE"/>
              </w:rPr>
              <w:t>Welcher Personenkreis nimmt von Universität Bamberg teil?</w:t>
            </w:r>
          </w:p>
        </w:tc>
      </w:tr>
    </w:tbl>
    <w:p w:rsidR="00B446FD" w:rsidRPr="00B446FD" w:rsidRDefault="00B446FD" w:rsidP="00B446FD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B446FD">
        <w:rPr>
          <w:rFonts w:ascii="Calibri" w:eastAsia="Times New Roman" w:hAnsi="Calibri" w:cs="Calibri"/>
          <w:b/>
          <w:bCs/>
          <w:lang w:eastAsia="de-DE"/>
        </w:rPr>
        <w:t xml:space="preserve">5. Kategorien der Empfänger, denen die personenbezogenen Daten offengelegt worden sind oder noch offengelegt werden, einschließlich Empfänger in Drittländern oder internationalen Organisationen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4317"/>
        <w:gridCol w:w="3250"/>
      </w:tblGrid>
      <w:tr w:rsidR="00B446FD" w:rsidRPr="00B446FD" w:rsidTr="00B446FD">
        <w:tc>
          <w:tcPr>
            <w:tcW w:w="1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Lfd. Nr. von Abschnitt 3 </w:t>
            </w:r>
          </w:p>
        </w:tc>
        <w:tc>
          <w:tcPr>
            <w:tcW w:w="43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Empfänger  </w:t>
            </w:r>
          </w:p>
        </w:tc>
        <w:tc>
          <w:tcPr>
            <w:tcW w:w="32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Anlass der Offenlegung </w:t>
            </w:r>
          </w:p>
        </w:tc>
      </w:tr>
      <w:tr w:rsidR="00B446FD" w:rsidRPr="00B446FD" w:rsidTr="00B446FD">
        <w:tc>
          <w:tcPr>
            <w:tcW w:w="1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>1-2</w:t>
            </w:r>
          </w:p>
          <w:p w:rsidR="00B446FD" w:rsidRPr="00B446FD" w:rsidRDefault="00B446FD" w:rsidP="00B44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>1-2</w:t>
            </w:r>
          </w:p>
        </w:tc>
        <w:tc>
          <w:tcPr>
            <w:tcW w:w="43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val="en-US" w:eastAsia="de-DE"/>
              </w:rPr>
            </w:pPr>
            <w:proofErr w:type="spellStart"/>
            <w:r w:rsidRPr="00B446FD">
              <w:rPr>
                <w:rFonts w:ascii="Calibri" w:eastAsia="Times New Roman" w:hAnsi="Calibri" w:cs="Calibri"/>
                <w:lang w:val="en-US" w:eastAsia="de-DE"/>
              </w:rPr>
              <w:t>Andere</w:t>
            </w:r>
            <w:proofErr w:type="spellEnd"/>
            <w:r w:rsidRPr="00B446FD">
              <w:rPr>
                <w:rFonts w:ascii="Calibri" w:eastAsia="Times New Roman" w:hAnsi="Calibri" w:cs="Calibri"/>
                <w:lang w:val="en-US" w:eastAsia="de-DE"/>
              </w:rPr>
              <w:t xml:space="preserve"> </w:t>
            </w:r>
            <w:proofErr w:type="spellStart"/>
            <w:r w:rsidRPr="00B446FD">
              <w:rPr>
                <w:rFonts w:ascii="Calibri" w:eastAsia="Times New Roman" w:hAnsi="Calibri" w:cs="Calibri"/>
                <w:lang w:val="en-US" w:eastAsia="de-DE"/>
              </w:rPr>
              <w:t>Universitäten</w:t>
            </w:r>
            <w:proofErr w:type="spellEnd"/>
            <w:r w:rsidRPr="00B446FD">
              <w:rPr>
                <w:rFonts w:ascii="Calibri" w:eastAsia="Times New Roman" w:hAnsi="Calibri" w:cs="Calibri"/>
                <w:lang w:val="en-US" w:eastAsia="de-DE"/>
              </w:rPr>
              <w:t xml:space="preserve"> </w:t>
            </w:r>
            <w:proofErr w:type="spellStart"/>
            <w:r w:rsidRPr="00B446FD">
              <w:rPr>
                <w:rFonts w:ascii="Calibri" w:eastAsia="Times New Roman" w:hAnsi="Calibri" w:cs="Calibri"/>
                <w:lang w:val="en-US" w:eastAsia="de-DE"/>
              </w:rPr>
              <w:t>im</w:t>
            </w:r>
            <w:proofErr w:type="spellEnd"/>
            <w:r w:rsidRPr="00B446FD">
              <w:rPr>
                <w:rFonts w:ascii="Calibri" w:eastAsia="Times New Roman" w:hAnsi="Calibri" w:cs="Calibri"/>
                <w:lang w:val="en-US" w:eastAsia="de-DE"/>
              </w:rPr>
              <w:t xml:space="preserve"> In- und </w:t>
            </w:r>
            <w:proofErr w:type="spellStart"/>
            <w:r w:rsidRPr="00B446FD">
              <w:rPr>
                <w:rFonts w:ascii="Calibri" w:eastAsia="Times New Roman" w:hAnsi="Calibri" w:cs="Calibri"/>
                <w:lang w:val="en-US" w:eastAsia="de-DE"/>
              </w:rPr>
              <w:t>Ausland</w:t>
            </w:r>
            <w:proofErr w:type="spellEnd"/>
          </w:p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val="en-US" w:eastAsia="de-DE"/>
              </w:rPr>
            </w:pPr>
            <w:proofErr w:type="spellStart"/>
            <w:r w:rsidRPr="00B446FD">
              <w:rPr>
                <w:rFonts w:ascii="Calibri" w:eastAsia="Times New Roman" w:hAnsi="Calibri" w:cs="Calibri"/>
                <w:lang w:val="en-US" w:eastAsia="de-DE"/>
              </w:rPr>
              <w:t>Unternehmen</w:t>
            </w:r>
            <w:proofErr w:type="spellEnd"/>
          </w:p>
        </w:tc>
        <w:tc>
          <w:tcPr>
            <w:tcW w:w="32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 xml:space="preserve">Vertragserfüllung, Art. 6 Abs. 1 a, b, c, e DSGVO </w:t>
            </w:r>
          </w:p>
        </w:tc>
      </w:tr>
    </w:tbl>
    <w:p w:rsidR="00B446FD" w:rsidRDefault="00B446FD" w:rsidP="00B446FD">
      <w:pPr>
        <w:spacing w:after="0" w:line="240" w:lineRule="auto"/>
        <w:rPr>
          <w:rFonts w:ascii="Calibri" w:eastAsia="Times New Roman" w:hAnsi="Calibri" w:cs="Calibri"/>
          <w:b/>
          <w:bCs/>
          <w:lang w:eastAsia="de-DE"/>
        </w:rPr>
      </w:pPr>
    </w:p>
    <w:p w:rsidR="00B446FD" w:rsidRPr="00B446FD" w:rsidRDefault="00B446FD" w:rsidP="00B446FD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b/>
          <w:bCs/>
          <w:lang w:eastAsia="de-DE"/>
        </w:rPr>
        <w:br w:type="column"/>
      </w:r>
      <w:r w:rsidRPr="00B446FD">
        <w:rPr>
          <w:rFonts w:ascii="Calibri" w:eastAsia="Times New Roman" w:hAnsi="Calibri" w:cs="Calibri"/>
          <w:b/>
          <w:bCs/>
          <w:lang w:eastAsia="de-DE"/>
        </w:rPr>
        <w:lastRenderedPageBreak/>
        <w:t xml:space="preserve">6. Falls zutreffend: Übermittlungen von personenbezogenen Daten an ein Drittland oder an eine internationale Organisation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458"/>
        <w:gridCol w:w="4516"/>
      </w:tblGrid>
      <w:tr w:rsidR="00B446FD" w:rsidRPr="00B446FD" w:rsidTr="00B446FD">
        <w:tc>
          <w:tcPr>
            <w:tcW w:w="2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Lfd. Nr. von Abschnitt 3 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Drittland oder internationale Organisation  </w:t>
            </w:r>
          </w:p>
        </w:tc>
        <w:tc>
          <w:tcPr>
            <w:tcW w:w="6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Geeignete Garantien im Falle einer Übermittlung nach Art. 49 Abs. 1 Unterabsatz 2 DSGVO </w:t>
            </w:r>
          </w:p>
        </w:tc>
      </w:tr>
      <w:tr w:rsidR="00B446FD" w:rsidRPr="00B446FD" w:rsidTr="00B446FD">
        <w:tc>
          <w:tcPr>
            <w:tcW w:w="24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>1-2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 xml:space="preserve">bspw. Schweiz </w:t>
            </w:r>
          </w:p>
        </w:tc>
        <w:tc>
          <w:tcPr>
            <w:tcW w:w="59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 xml:space="preserve">Entscheidung der Kommission vom 26. Juli 2000 - 2000/518/EG </w:t>
            </w:r>
          </w:p>
        </w:tc>
      </w:tr>
      <w:tr w:rsidR="00B446FD" w:rsidRPr="00B446FD" w:rsidTr="00B446FD">
        <w:tc>
          <w:tcPr>
            <w:tcW w:w="24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>1-2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highlight w:val="yellow"/>
                <w:lang w:eastAsia="de-DE"/>
              </w:rPr>
              <w:t>Land/Länder nennen, in denen ich die Kommunikationspartner befinden</w:t>
            </w:r>
          </w:p>
        </w:tc>
        <w:tc>
          <w:tcPr>
            <w:tcW w:w="59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?????</w:t>
            </w:r>
          </w:p>
        </w:tc>
      </w:tr>
    </w:tbl>
    <w:p w:rsidR="00B446FD" w:rsidRPr="00B446FD" w:rsidRDefault="00B446FD" w:rsidP="00B446FD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B446FD">
        <w:rPr>
          <w:rFonts w:ascii="Calibri" w:eastAsia="Times New Roman" w:hAnsi="Calibri" w:cs="Calibri"/>
          <w:b/>
          <w:bCs/>
          <w:lang w:eastAsia="de-DE"/>
        </w:rPr>
        <w:t xml:space="preserve">7. Vorgesehene Fristen für die Löschung der verschiedenen Datenkategorien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884"/>
      </w:tblGrid>
      <w:tr w:rsidR="00B446FD" w:rsidRPr="00B446FD" w:rsidTr="00B446FD">
        <w:tc>
          <w:tcPr>
            <w:tcW w:w="25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Lfd. Nr. von Abschnitt 3 </w:t>
            </w:r>
          </w:p>
        </w:tc>
        <w:tc>
          <w:tcPr>
            <w:tcW w:w="83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Löschungsfrist </w:t>
            </w:r>
          </w:p>
        </w:tc>
      </w:tr>
      <w:tr w:rsidR="00B446FD" w:rsidRPr="00B446FD" w:rsidTr="00B446FD">
        <w:tc>
          <w:tcPr>
            <w:tcW w:w="25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>1-2 </w:t>
            </w:r>
          </w:p>
        </w:tc>
        <w:tc>
          <w:tcPr>
            <w:tcW w:w="84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Web- und </w:t>
            </w:r>
            <w:r w:rsidRPr="00B446FD">
              <w:rPr>
                <w:rFonts w:ascii="Calibri" w:eastAsia="Times New Roman" w:hAnsi="Calibri" w:cs="Calibri"/>
                <w:lang w:eastAsia="de-DE"/>
              </w:rPr>
              <w:t>Videokonferenzen werden in der Regel nicht aufgezeichnet, d.h. Daten werden gar nicht erst gespeichert</w:t>
            </w:r>
            <w:r>
              <w:rPr>
                <w:rFonts w:ascii="Calibri" w:eastAsia="Times New Roman" w:hAnsi="Calibri" w:cs="Calibri"/>
                <w:lang w:eastAsia="de-DE"/>
              </w:rPr>
              <w:br/>
              <w:t>(</w:t>
            </w:r>
            <w:r w:rsidRPr="00B446FD">
              <w:rPr>
                <w:rFonts w:ascii="Calibri" w:eastAsia="Times New Roman" w:hAnsi="Calibri" w:cs="Calibri"/>
                <w:highlight w:val="yellow"/>
                <w:lang w:eastAsia="de-DE"/>
              </w:rPr>
              <w:t>falls die Konferenz doch aufgezeichnet wird, denn obigen Satz löschen und Löschfrist angeben</w:t>
            </w:r>
            <w:r>
              <w:rPr>
                <w:rFonts w:ascii="Calibri" w:eastAsia="Times New Roman" w:hAnsi="Calibri" w:cs="Calibri"/>
                <w:lang w:eastAsia="de-DE"/>
              </w:rPr>
              <w:t>)</w:t>
            </w:r>
          </w:p>
        </w:tc>
      </w:tr>
    </w:tbl>
    <w:p w:rsidR="00B446FD" w:rsidRPr="00B446FD" w:rsidRDefault="00B446FD" w:rsidP="00B446FD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B446FD">
        <w:rPr>
          <w:rFonts w:ascii="Calibri" w:eastAsia="Times New Roman" w:hAnsi="Calibri" w:cs="Calibri"/>
          <w:b/>
          <w:bCs/>
          <w:lang w:eastAsia="de-DE"/>
        </w:rPr>
        <w:t xml:space="preserve">8. Allgemeine Beschreibung der technischen und organisatorischen Maßnahmen gemäß Artikel 32 Absatz 1 DSGVO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B446FD" w:rsidRPr="00B446FD" w:rsidTr="00B446FD">
        <w:tc>
          <w:tcPr>
            <w:tcW w:w="110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>Siehe Abschnitt 4.3 Datenschutzkonzept.</w:t>
            </w:r>
            <w:r w:rsidRPr="00B446FD">
              <w:rPr>
                <w:rFonts w:ascii="Calibri" w:eastAsia="Times New Roman" w:hAnsi="Calibri" w:cs="Calibri"/>
                <w:lang w:eastAsia="de-DE"/>
              </w:rPr>
              <w:br/>
              <w:t> </w:t>
            </w:r>
          </w:p>
          <w:p w:rsidR="00B446FD" w:rsidRP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6F5A39">
              <w:rPr>
                <w:rFonts w:ascii="Calibri" w:eastAsia="Times New Roman" w:hAnsi="Calibri" w:cs="Calibri"/>
                <w:highlight w:val="yellow"/>
                <w:lang w:eastAsia="de-DE"/>
              </w:rPr>
              <w:t xml:space="preserve">Eine </w:t>
            </w:r>
            <w:r w:rsidR="006F5A39" w:rsidRPr="006F5A39">
              <w:rPr>
                <w:rFonts w:ascii="Calibri" w:eastAsia="Times New Roman" w:hAnsi="Calibri" w:cs="Calibri"/>
                <w:highlight w:val="yellow"/>
                <w:lang w:eastAsia="de-DE"/>
              </w:rPr>
              <w:t>Maßnahme könnte sein</w:t>
            </w:r>
            <w:r w:rsidRPr="006F5A39">
              <w:rPr>
                <w:rFonts w:ascii="Calibri" w:eastAsia="Times New Roman" w:hAnsi="Calibri" w:cs="Calibri"/>
                <w:highlight w:val="yellow"/>
                <w:lang w:eastAsia="de-DE"/>
              </w:rPr>
              <w:t xml:space="preserve">, dass </w:t>
            </w:r>
            <w:r w:rsidRPr="00B446FD">
              <w:rPr>
                <w:rFonts w:ascii="Calibri" w:eastAsia="Times New Roman" w:hAnsi="Calibri" w:cs="Calibri"/>
                <w:highlight w:val="yellow"/>
                <w:lang w:eastAsia="de-DE"/>
              </w:rPr>
              <w:t xml:space="preserve">Externe </w:t>
            </w:r>
            <w:r w:rsidRPr="006F5A39">
              <w:rPr>
                <w:rFonts w:ascii="Calibri" w:eastAsia="Times New Roman" w:hAnsi="Calibri" w:cs="Calibri"/>
                <w:highlight w:val="yellow"/>
                <w:lang w:eastAsia="de-DE"/>
              </w:rPr>
              <w:t xml:space="preserve">nur durch ein Passwort oder </w:t>
            </w:r>
            <w:r w:rsidRPr="00B446FD">
              <w:rPr>
                <w:rFonts w:ascii="Calibri" w:eastAsia="Times New Roman" w:hAnsi="Calibri" w:cs="Calibri"/>
                <w:highlight w:val="yellow"/>
                <w:lang w:eastAsia="de-DE"/>
              </w:rPr>
              <w:t xml:space="preserve">nach Bestätigung bei der Einwahl an einer gemeinsamen </w:t>
            </w:r>
            <w:r w:rsidRPr="006F5A39">
              <w:rPr>
                <w:rFonts w:ascii="Calibri" w:eastAsia="Times New Roman" w:hAnsi="Calibri" w:cs="Calibri"/>
                <w:highlight w:val="yellow"/>
                <w:lang w:eastAsia="de-DE"/>
              </w:rPr>
              <w:t xml:space="preserve">Web- oder </w:t>
            </w:r>
            <w:r w:rsidRPr="00B446FD">
              <w:rPr>
                <w:rFonts w:ascii="Calibri" w:eastAsia="Times New Roman" w:hAnsi="Calibri" w:cs="Calibri"/>
                <w:highlight w:val="yellow"/>
                <w:lang w:eastAsia="de-DE"/>
              </w:rPr>
              <w:t>Videokonferenz teilnehmen</w:t>
            </w:r>
            <w:r w:rsidRPr="006F5A39">
              <w:rPr>
                <w:rFonts w:ascii="Calibri" w:eastAsia="Times New Roman" w:hAnsi="Calibri" w:cs="Calibri"/>
                <w:highlight w:val="yellow"/>
                <w:lang w:eastAsia="de-DE"/>
              </w:rPr>
              <w:t xml:space="preserve"> können</w:t>
            </w:r>
            <w:r w:rsidR="006F5A39" w:rsidRPr="006F5A39">
              <w:rPr>
                <w:rFonts w:ascii="Calibri" w:eastAsia="Times New Roman" w:hAnsi="Calibri" w:cs="Calibri"/>
                <w:highlight w:val="yellow"/>
                <w:lang w:eastAsia="de-DE"/>
              </w:rPr>
              <w:t>. Wenn dies der Fall ist, muss dies hier dokumentiert werden.</w:t>
            </w:r>
          </w:p>
          <w:p w:rsidR="00B446FD" w:rsidRDefault="00B446FD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  <w:p w:rsidR="006F5A39" w:rsidRDefault="006F5A39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6F5A39">
              <w:rPr>
                <w:rFonts w:ascii="Calibri" w:eastAsia="Times New Roman" w:hAnsi="Calibri" w:cs="Calibri"/>
                <w:highlight w:val="yellow"/>
                <w:lang w:eastAsia="de-DE"/>
              </w:rPr>
              <w:t xml:space="preserve">Eine weitere Maßnahme könnte sein, dass an der Konferenz teilnehmende Personen vor der Konferenz nochmal explizit auf die Übertragung ihres gesprochenen Wortes und des jeweiligen Abbildes hingewiesen werden. </w:t>
            </w:r>
            <w:r w:rsidRPr="006F5A39">
              <w:rPr>
                <w:rFonts w:ascii="Calibri" w:eastAsia="Times New Roman" w:hAnsi="Calibri" w:cs="Calibri"/>
                <w:highlight w:val="yellow"/>
                <w:lang w:eastAsia="de-DE"/>
              </w:rPr>
              <w:t xml:space="preserve">Wenn dies der Fall ist, </w:t>
            </w:r>
            <w:r w:rsidRPr="006F5A39">
              <w:rPr>
                <w:rFonts w:ascii="Calibri" w:eastAsia="Times New Roman" w:hAnsi="Calibri" w:cs="Calibri"/>
                <w:highlight w:val="yellow"/>
                <w:lang w:eastAsia="de-DE"/>
              </w:rPr>
              <w:t>sollte</w:t>
            </w:r>
            <w:r w:rsidRPr="006F5A39">
              <w:rPr>
                <w:rFonts w:ascii="Calibri" w:eastAsia="Times New Roman" w:hAnsi="Calibri" w:cs="Calibri"/>
                <w:highlight w:val="yellow"/>
                <w:lang w:eastAsia="de-DE"/>
              </w:rPr>
              <w:t xml:space="preserve"> dies hier dokumentiert werden.</w:t>
            </w:r>
          </w:p>
          <w:p w:rsidR="00B446FD" w:rsidRPr="00B446FD" w:rsidRDefault="006F5A39" w:rsidP="00B446FD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Insbesondere Studierende sind darauf hinzuweisen</w:t>
            </w:r>
            <w:r w:rsidR="00B446FD" w:rsidRPr="00B446FD">
              <w:rPr>
                <w:rFonts w:ascii="Calibri" w:eastAsia="Times New Roman" w:hAnsi="Calibri" w:cs="Calibri"/>
                <w:lang w:eastAsia="de-DE"/>
              </w:rPr>
              <w:t xml:space="preserve">, dass die Lehrveranstaltung übertragen oder aufgezeichnet wird. [Quelle: Richtlinien zum Schutz personenbezogener Daten bei multimedialer Nutzung von E-Learning-Verfahren an der Otto-Friedrich-Universität Bamberg Vom 12. August 2011, §9: </w:t>
            </w:r>
            <w:hyperlink r:id="rId4" w:history="1">
              <w:r w:rsidR="00B446FD" w:rsidRPr="00B446FD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https://www.uni-bamberg.de/fileadmin/uni/verwaltung/justitiariat/Rechtsgrundlagen/Interne_Regelungen/Richtlinien_E-Learning.pdf</w:t>
              </w:r>
            </w:hyperlink>
          </w:p>
        </w:tc>
      </w:tr>
    </w:tbl>
    <w:p w:rsidR="00B446FD" w:rsidRPr="00B446FD" w:rsidRDefault="00B446FD" w:rsidP="00B446FD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B446FD">
        <w:rPr>
          <w:rFonts w:ascii="Calibri" w:eastAsia="Times New Roman" w:hAnsi="Calibri" w:cs="Calibri"/>
          <w:b/>
          <w:bCs/>
          <w:lang w:eastAsia="de-DE"/>
        </w:rPr>
        <w:t>9. Datenschutz-Folgenabschätzung gemäß Artikel 35 DSGVO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B446FD" w:rsidRPr="00B446FD" w:rsidTr="00B446FD">
        <w:tc>
          <w:tcPr>
            <w:tcW w:w="109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44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Bewertung der Risiken für die Rechte und Freiheiten der betroffenen Personen</w:t>
            </w:r>
          </w:p>
          <w:p w:rsidR="00B446FD" w:rsidRPr="00B446FD" w:rsidRDefault="00B446FD" w:rsidP="00B446FD">
            <w:pPr>
              <w:spacing w:before="40"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>Die Form der Verarbeitung hat kein hohes Risiko für die Rechte und Freiheiten natürlicher Personen zur Folge, da die Anwendung bezüglich Vertraulichkeit in die Kategorie A (normaler Schutzbedarf) eingeordnet ist. Es werden keine Kategorien besonderer Daten verarbeitet. Eine Folgenabschätzung ist daher nicht erforderlich.</w:t>
            </w:r>
          </w:p>
        </w:tc>
      </w:tr>
      <w:tr w:rsidR="00B446FD" w:rsidRPr="00B446FD" w:rsidTr="00B446FD">
        <w:tc>
          <w:tcPr>
            <w:tcW w:w="109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44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Zur Bewältigung der Risiken geplante Abhilfemaßnahmen</w:t>
            </w:r>
          </w:p>
          <w:p w:rsidR="00B446FD" w:rsidRPr="00B446FD" w:rsidRDefault="00B446FD" w:rsidP="00B446FD">
            <w:pPr>
              <w:spacing w:before="40"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B446FD" w:rsidRPr="00B446FD" w:rsidTr="00B446FD">
        <w:tc>
          <w:tcPr>
            <w:tcW w:w="109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44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Stellungnahme des behördlichen Datenschutzbeauftragten (in unklaren Fällen einzuholen)</w:t>
            </w:r>
          </w:p>
          <w:p w:rsidR="00B446FD" w:rsidRPr="00B446FD" w:rsidRDefault="00B446FD" w:rsidP="00B446FD">
            <w:pPr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446FD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  <w:p w:rsidR="00B446FD" w:rsidRPr="00B446FD" w:rsidRDefault="00B446FD" w:rsidP="00B446F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446FD">
              <w:rPr>
                <w:rFonts w:ascii="Arial" w:eastAsia="Times New Roman" w:hAnsi="Arial" w:cs="Arial"/>
                <w:lang w:eastAsia="de-DE"/>
              </w:rPr>
              <w:t>Das Verfahren ist datenschutzrechtlich zulässig:</w:t>
            </w:r>
          </w:p>
          <w:p w:rsidR="00B446FD" w:rsidRPr="00B446FD" w:rsidRDefault="00B446FD" w:rsidP="00B446F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446FD">
              <w:rPr>
                <w:rFonts w:ascii="Arial" w:eastAsia="Times New Roman" w:hAnsi="Arial" w:cs="Arial"/>
                <w:lang w:eastAsia="de-DE"/>
              </w:rPr>
              <w:t xml:space="preserve">     O Ja      O Nein</w:t>
            </w:r>
          </w:p>
          <w:p w:rsidR="00B446FD" w:rsidRPr="00B446FD" w:rsidRDefault="00B446FD" w:rsidP="00B446FD">
            <w:pPr>
              <w:spacing w:before="40"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446FD">
              <w:rPr>
                <w:rFonts w:ascii="Arial" w:eastAsia="Times New Roman" w:hAnsi="Arial" w:cs="Arial"/>
                <w:lang w:eastAsia="de-DE"/>
              </w:rPr>
              <w:lastRenderedPageBreak/>
              <w:t>Gegebenenfalls nähere Erläuterung:</w:t>
            </w:r>
          </w:p>
          <w:p w:rsidR="00B446FD" w:rsidRPr="00B446FD" w:rsidRDefault="00B446FD" w:rsidP="00B446FD">
            <w:pPr>
              <w:spacing w:before="40"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446FD">
              <w:rPr>
                <w:rFonts w:ascii="Arial" w:eastAsia="Times New Roman" w:hAnsi="Arial" w:cs="Arial"/>
                <w:lang w:eastAsia="de-DE"/>
              </w:rPr>
              <w:t> </w:t>
            </w:r>
          </w:p>
          <w:p w:rsidR="00B446FD" w:rsidRPr="00B446FD" w:rsidRDefault="00B446FD" w:rsidP="00B446FD">
            <w:pPr>
              <w:spacing w:before="40"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446FD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B446FD" w:rsidRPr="00B446FD" w:rsidTr="00B446FD">
        <w:tc>
          <w:tcPr>
            <w:tcW w:w="109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46FD" w:rsidRPr="00B446FD" w:rsidRDefault="00B446FD" w:rsidP="00B446FD">
            <w:pPr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44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lastRenderedPageBreak/>
              <w:t>Ergebnis der Folgenabschätzung</w:t>
            </w:r>
          </w:p>
          <w:p w:rsidR="00B446FD" w:rsidRPr="00B446FD" w:rsidRDefault="00B446FD" w:rsidP="00B446FD">
            <w:pPr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446FD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  <w:p w:rsidR="00B446FD" w:rsidRPr="00B446FD" w:rsidRDefault="00B446FD" w:rsidP="00B446F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446FD">
              <w:rPr>
                <w:rFonts w:ascii="Arial" w:eastAsia="Times New Roman" w:hAnsi="Arial" w:cs="Arial"/>
                <w:lang w:eastAsia="de-DE"/>
              </w:rPr>
              <w:t>Das Verfahren darf eingesetzt werden:</w:t>
            </w:r>
          </w:p>
          <w:p w:rsidR="00B446FD" w:rsidRPr="00B446FD" w:rsidRDefault="00B446FD" w:rsidP="00B446F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446FD">
              <w:rPr>
                <w:rFonts w:ascii="Arial" w:eastAsia="Times New Roman" w:hAnsi="Arial" w:cs="Arial"/>
                <w:lang w:eastAsia="de-DE"/>
              </w:rPr>
              <w:t xml:space="preserve">     </w:t>
            </w:r>
            <w:r w:rsidRPr="00B446FD">
              <w:rPr>
                <w:rFonts w:ascii="Arial" w:eastAsia="Times New Roman" w:hAnsi="Arial" w:cs="Arial"/>
                <w:highlight w:val="yellow"/>
                <w:lang w:eastAsia="de-DE"/>
              </w:rPr>
              <w:t>O</w:t>
            </w:r>
            <w:r w:rsidRPr="00B446FD">
              <w:rPr>
                <w:rFonts w:ascii="Arial" w:eastAsia="Times New Roman" w:hAnsi="Arial" w:cs="Arial"/>
                <w:lang w:eastAsia="de-DE"/>
              </w:rPr>
              <w:t xml:space="preserve"> Ja      O Nein</w:t>
            </w:r>
          </w:p>
          <w:p w:rsidR="00B446FD" w:rsidRPr="00B446FD" w:rsidRDefault="00B446FD" w:rsidP="00B446FD">
            <w:pPr>
              <w:spacing w:before="40"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446FD">
              <w:rPr>
                <w:rFonts w:ascii="Arial" w:eastAsia="Times New Roman" w:hAnsi="Arial" w:cs="Arial"/>
                <w:lang w:eastAsia="de-DE"/>
              </w:rPr>
              <w:t>Name und Dienstbezeichnung des für die Entscheidung Zuständigen:</w:t>
            </w:r>
          </w:p>
          <w:p w:rsidR="00B446FD" w:rsidRPr="00B446FD" w:rsidRDefault="00B446FD" w:rsidP="00B446FD">
            <w:pPr>
              <w:spacing w:before="40"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446FD">
              <w:rPr>
                <w:rFonts w:ascii="Arial" w:eastAsia="Times New Roman" w:hAnsi="Arial" w:cs="Arial"/>
                <w:highlight w:val="yellow"/>
                <w:lang w:eastAsia="de-DE"/>
              </w:rPr>
              <w:t>Name angeben</w:t>
            </w:r>
          </w:p>
          <w:p w:rsidR="00B446FD" w:rsidRPr="00B446FD" w:rsidRDefault="00B446FD" w:rsidP="00B446FD">
            <w:pPr>
              <w:spacing w:before="40"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446FD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</w:tbl>
    <w:p w:rsidR="00954EE9" w:rsidRDefault="00BF39AF"/>
    <w:sectPr w:rsidR="00954E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3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FD"/>
    <w:rsid w:val="00177693"/>
    <w:rsid w:val="006F5A39"/>
    <w:rsid w:val="00B446FD"/>
    <w:rsid w:val="00BF39AF"/>
    <w:rsid w:val="00D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C75D"/>
  <w15:chartTrackingRefBased/>
  <w15:docId w15:val="{138EBECD-284A-4C87-8F71-875A30CD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4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44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-bamberg.de/fileadmin/uni/verwaltung/justitiariat/Rechtsgrundlagen/Interne_Regelungen/Richtlinien_E-Learning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Cordula Schwiderski</dc:creator>
  <cp:keywords/>
  <dc:description/>
  <cp:lastModifiedBy>Cordula Schwiderski</cp:lastModifiedBy>
  <cp:revision>2</cp:revision>
  <dcterms:created xsi:type="dcterms:W3CDTF">2018-08-01T11:20:00Z</dcterms:created>
  <dcterms:modified xsi:type="dcterms:W3CDTF">2018-08-01T11:37:00Z</dcterms:modified>
</cp:coreProperties>
</file>