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0" w:firstLine="0"/>
        <w:rPr>
          <w:rFonts w:ascii="Times New Roman"/>
          <w:sz w:val="16"/>
        </w:rPr>
      </w:pPr>
    </w:p>
    <w:p>
      <w:pPr>
        <w:spacing w:before="101"/>
        <w:ind w:left="116" w:right="0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color w:val="365F91"/>
          <w:sz w:val="28"/>
        </w:rPr>
        <w:t>Schwerpunkte in Lehre und Forschung</w:t>
      </w:r>
    </w:p>
    <w:p>
      <w:pPr>
        <w:pStyle w:val="BodyText"/>
        <w:spacing w:before="0"/>
        <w:ind w:left="0" w:firstLine="0"/>
        <w:rPr>
          <w:rFonts w:ascii="Cambria"/>
          <w:b/>
          <w:sz w:val="32"/>
        </w:rPr>
      </w:pPr>
    </w:p>
    <w:p>
      <w:pPr>
        <w:pStyle w:val="BodyText"/>
        <w:spacing w:before="188"/>
        <w:ind w:left="116" w:firstLine="0"/>
      </w:pPr>
      <w:r>
        <w:rPr>
          <w:u w:val="single"/>
        </w:rPr>
        <w:t>In der Lehre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49" w:after="0"/>
        <w:ind w:left="836" w:right="0" w:hanging="360"/>
        <w:jc w:val="left"/>
        <w:rPr>
          <w:sz w:val="28"/>
        </w:rPr>
      </w:pPr>
      <w:r>
        <w:rPr>
          <w:sz w:val="28"/>
        </w:rPr>
        <w:t>Jüdische Religionsgeschichte von der Spätantike bis zur Frühen</w:t>
      </w:r>
      <w:r>
        <w:rPr>
          <w:spacing w:val="-16"/>
          <w:sz w:val="28"/>
        </w:rPr>
        <w:t> </w:t>
      </w:r>
      <w:r>
        <w:rPr>
          <w:sz w:val="28"/>
        </w:rPr>
        <w:t>Neuzeit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51" w:after="0"/>
        <w:ind w:left="836" w:right="0" w:hanging="360"/>
        <w:jc w:val="left"/>
        <w:rPr>
          <w:sz w:val="28"/>
        </w:rPr>
      </w:pPr>
      <w:r>
        <w:rPr>
          <w:sz w:val="28"/>
        </w:rPr>
        <w:t>Rabbinische Literatur: Theologie, Hermeneutik und</w:t>
      </w:r>
      <w:r>
        <w:rPr>
          <w:spacing w:val="-21"/>
          <w:sz w:val="28"/>
        </w:rPr>
        <w:t> </w:t>
      </w:r>
      <w:r>
        <w:rPr>
          <w:sz w:val="28"/>
        </w:rPr>
        <w:t>Rezeptionsgeschichte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51" w:after="0"/>
        <w:ind w:left="836" w:right="0" w:hanging="360"/>
        <w:jc w:val="left"/>
        <w:rPr>
          <w:sz w:val="28"/>
        </w:rPr>
      </w:pPr>
      <w:r>
        <w:rPr>
          <w:sz w:val="28"/>
        </w:rPr>
        <w:t>Kabbala (Geschichte und</w:t>
      </w:r>
      <w:r>
        <w:rPr>
          <w:spacing w:val="-3"/>
          <w:sz w:val="28"/>
        </w:rPr>
        <w:t> </w:t>
      </w:r>
      <w:r>
        <w:rPr>
          <w:sz w:val="28"/>
        </w:rPr>
        <w:t>Theologie)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51" w:after="0"/>
        <w:ind w:left="836" w:right="0" w:hanging="360"/>
        <w:jc w:val="left"/>
        <w:rPr>
          <w:sz w:val="28"/>
        </w:rPr>
      </w:pPr>
      <w:r>
        <w:rPr>
          <w:sz w:val="28"/>
        </w:rPr>
        <w:t>Osteuropäischer Chassidismus (Geschichte und</w:t>
      </w:r>
      <w:r>
        <w:rPr>
          <w:spacing w:val="-6"/>
          <w:sz w:val="28"/>
        </w:rPr>
        <w:t> </w:t>
      </w:r>
      <w:r>
        <w:rPr>
          <w:sz w:val="28"/>
        </w:rPr>
        <w:t>Theologie)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52" w:after="0"/>
        <w:ind w:left="836" w:right="0" w:hanging="360"/>
        <w:jc w:val="left"/>
        <w:rPr>
          <w:sz w:val="28"/>
        </w:rPr>
      </w:pPr>
      <w:r>
        <w:rPr>
          <w:sz w:val="28"/>
        </w:rPr>
        <w:t>Geschichte der jüdisch-christlichen</w:t>
      </w:r>
      <w:r>
        <w:rPr>
          <w:spacing w:val="-8"/>
          <w:sz w:val="28"/>
        </w:rPr>
        <w:t> </w:t>
      </w:r>
      <w:r>
        <w:rPr>
          <w:sz w:val="28"/>
        </w:rPr>
        <w:t>Beziehungen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54" w:after="0"/>
        <w:ind w:left="836" w:right="0" w:hanging="360"/>
        <w:jc w:val="left"/>
        <w:rPr>
          <w:sz w:val="28"/>
        </w:rPr>
      </w:pPr>
      <w:r>
        <w:rPr>
          <w:sz w:val="28"/>
        </w:rPr>
        <w:t>Vergleichende Rezeptionsgeschichte der Hebräischen</w:t>
      </w:r>
      <w:r>
        <w:rPr>
          <w:spacing w:val="-9"/>
          <w:sz w:val="28"/>
        </w:rPr>
        <w:t> </w:t>
      </w:r>
      <w:r>
        <w:rPr>
          <w:sz w:val="28"/>
        </w:rPr>
        <w:t>Bibel</w:t>
      </w:r>
    </w:p>
    <w:p>
      <w:pPr>
        <w:pStyle w:val="BodyText"/>
        <w:spacing w:before="0"/>
        <w:ind w:left="0" w:firstLine="0"/>
        <w:rPr>
          <w:sz w:val="34"/>
        </w:rPr>
      </w:pPr>
    </w:p>
    <w:p>
      <w:pPr>
        <w:pStyle w:val="BodyText"/>
        <w:spacing w:before="1"/>
        <w:ind w:left="0" w:firstLine="0"/>
        <w:rPr>
          <w:sz w:val="35"/>
        </w:rPr>
      </w:pPr>
    </w:p>
    <w:p>
      <w:pPr>
        <w:pStyle w:val="BodyText"/>
        <w:spacing w:before="1"/>
        <w:ind w:left="116" w:firstLine="0"/>
      </w:pPr>
      <w:r>
        <w:rPr>
          <w:u w:val="single"/>
        </w:rPr>
        <w:t>In der Forschung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48" w:after="0"/>
        <w:ind w:left="836" w:right="0" w:hanging="360"/>
        <w:jc w:val="left"/>
        <w:rPr>
          <w:sz w:val="28"/>
        </w:rPr>
      </w:pPr>
      <w:r>
        <w:rPr>
          <w:sz w:val="28"/>
        </w:rPr>
        <w:t>Vergleichende Rezeptionsgeschichte der Hebräischen</w:t>
      </w:r>
      <w:r>
        <w:rPr>
          <w:spacing w:val="-8"/>
          <w:sz w:val="28"/>
        </w:rPr>
        <w:t> </w:t>
      </w:r>
      <w:r>
        <w:rPr>
          <w:sz w:val="28"/>
        </w:rPr>
        <w:t>Bibel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51" w:after="0"/>
        <w:ind w:left="836" w:right="0" w:hanging="360"/>
        <w:jc w:val="left"/>
        <w:rPr>
          <w:sz w:val="28"/>
        </w:rPr>
      </w:pPr>
      <w:r>
        <w:rPr>
          <w:sz w:val="28"/>
        </w:rPr>
        <w:t>Hermeneutik der jüdischen</w:t>
      </w:r>
      <w:r>
        <w:rPr>
          <w:spacing w:val="-7"/>
          <w:sz w:val="28"/>
        </w:rPr>
        <w:t> </w:t>
      </w:r>
      <w:r>
        <w:rPr>
          <w:sz w:val="28"/>
        </w:rPr>
        <w:t>Traditionsschriften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51" w:after="0"/>
        <w:ind w:left="836" w:right="0" w:hanging="360"/>
        <w:jc w:val="left"/>
        <w:rPr>
          <w:sz w:val="28"/>
        </w:rPr>
      </w:pPr>
      <w:r>
        <w:rPr>
          <w:sz w:val="28"/>
        </w:rPr>
        <w:t>Vergleichende</w:t>
      </w:r>
      <w:r>
        <w:rPr>
          <w:spacing w:val="-3"/>
          <w:sz w:val="28"/>
        </w:rPr>
        <w:t> </w:t>
      </w:r>
      <w:r>
        <w:rPr>
          <w:sz w:val="28"/>
        </w:rPr>
        <w:t>Hagiographieforschung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52" w:after="0"/>
        <w:ind w:left="836" w:right="0" w:hanging="360"/>
        <w:jc w:val="left"/>
        <w:rPr>
          <w:sz w:val="28"/>
        </w:rPr>
      </w:pPr>
      <w:r>
        <w:rPr>
          <w:sz w:val="28"/>
        </w:rPr>
        <w:t>Osteuropäischer</w:t>
      </w:r>
      <w:r>
        <w:rPr>
          <w:spacing w:val="-2"/>
          <w:sz w:val="28"/>
        </w:rPr>
        <w:t> </w:t>
      </w:r>
      <w:r>
        <w:rPr>
          <w:sz w:val="28"/>
        </w:rPr>
        <w:t>Chassidismus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53" w:after="0"/>
        <w:ind w:left="836" w:right="0" w:hanging="360"/>
        <w:jc w:val="left"/>
        <w:rPr>
          <w:sz w:val="28"/>
        </w:rPr>
      </w:pPr>
      <w:r>
        <w:rPr>
          <w:sz w:val="28"/>
        </w:rPr>
        <w:t>Geschichte und Spiritualität der jüdischen Gemeinden</w:t>
      </w:r>
      <w:r>
        <w:rPr>
          <w:spacing w:val="-14"/>
          <w:sz w:val="28"/>
        </w:rPr>
        <w:t> </w:t>
      </w:r>
      <w:r>
        <w:rPr>
          <w:sz w:val="28"/>
        </w:rPr>
        <w:t>Frankens</w:t>
      </w:r>
    </w:p>
    <w:sectPr>
      <w:type w:val="continuous"/>
      <w:pgSz w:w="11910" w:h="16840"/>
      <w:pgMar w:top="158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6" w:hanging="360"/>
      </w:pPr>
      <w:rPr>
        <w:rFonts w:hint="default" w:ascii="Symbol" w:hAnsi="Symbol" w:eastAsia="Symbol" w:cs="Symbol"/>
        <w:w w:val="100"/>
        <w:sz w:val="28"/>
        <w:szCs w:val="2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2525" w:hanging="360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4210" w:hanging="360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5053" w:hanging="360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5895" w:hanging="360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6738" w:hanging="360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7581" w:hanging="3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de-DE" w:bidi="de-DE"/>
    </w:rPr>
  </w:style>
  <w:style w:styleId="BodyText" w:type="paragraph">
    <w:name w:val="Body Text"/>
    <w:basedOn w:val="Normal"/>
    <w:uiPriority w:val="1"/>
    <w:qFormat/>
    <w:pPr>
      <w:spacing w:before="51"/>
      <w:ind w:left="836" w:hanging="360"/>
    </w:pPr>
    <w:rPr>
      <w:rFonts w:ascii="Calibri" w:hAnsi="Calibri" w:eastAsia="Calibri" w:cs="Calibri"/>
      <w:sz w:val="28"/>
      <w:szCs w:val="28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spacing w:before="51"/>
      <w:ind w:left="836" w:hanging="360"/>
    </w:pPr>
    <w:rPr>
      <w:rFonts w:ascii="Calibri" w:hAnsi="Calibri" w:eastAsia="Calibri" w:cs="Calibri"/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Talabardon</dc:creator>
  <dcterms:created xsi:type="dcterms:W3CDTF">2018-11-12T06:51:06Z</dcterms:created>
  <dcterms:modified xsi:type="dcterms:W3CDTF">2018-11-12T06:51:06Z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2018-11-12T00:00:00Z</vt:filetime>
  </property>
</Properties>
</file>