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A37" w:rsidRDefault="001E3EA9">
      <w:pPr>
        <w:tabs>
          <w:tab w:val="center" w:pos="3420"/>
          <w:tab w:val="right" w:pos="9576"/>
        </w:tabs>
        <w:spacing w:after="709"/>
      </w:pPr>
      <w:r>
        <w:rPr>
          <w:sz w:val="32"/>
        </w:rPr>
        <w:t>OTTO-FRIEDRICH-UNIVERSITÄT BAMBERG</w:t>
      </w:r>
      <w:r>
        <w:rPr>
          <w:sz w:val="32"/>
        </w:rPr>
        <w:tab/>
      </w:r>
      <w:r>
        <w:rPr>
          <w:noProof/>
        </w:rPr>
        <w:drawing>
          <wp:inline distT="0" distB="0" distL="0" distR="0">
            <wp:extent cx="1280160" cy="1271016"/>
            <wp:effectExtent l="0" t="0" r="0" b="0"/>
            <wp:docPr id="911" name="Picture 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" name="Picture 9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7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A37" w:rsidRDefault="001E3EA9">
      <w:pPr>
        <w:spacing w:after="0" w:line="265" w:lineRule="auto"/>
        <w:ind w:left="197" w:hanging="10"/>
      </w:pPr>
      <w:r>
        <w:rPr>
          <w:sz w:val="28"/>
        </w:rPr>
        <w:t>Auszug aus der Niederschrift über die</w:t>
      </w:r>
    </w:p>
    <w:p w:rsidR="00775A37" w:rsidRDefault="001E3EA9">
      <w:pPr>
        <w:spacing w:after="458" w:line="265" w:lineRule="auto"/>
        <w:ind w:left="197" w:hanging="10"/>
      </w:pPr>
      <w:r>
        <w:rPr>
          <w:sz w:val="28"/>
        </w:rPr>
        <w:t>542. Sitzung der Universitätsleitung am 29. Januar 2014</w:t>
      </w:r>
    </w:p>
    <w:p w:rsidR="00775A37" w:rsidRDefault="001E3EA9">
      <w:pPr>
        <w:spacing w:after="0" w:line="322" w:lineRule="auto"/>
        <w:ind w:left="1554" w:right="2577" w:hanging="1382"/>
        <w:jc w:val="both"/>
      </w:pPr>
      <w:r>
        <w:t>Anwesend: Präsident Prof. Dr. Dr. Ruppert, Vizepräsident Prof. Dr. Kempgen, Vizepräsidentin Prof. Dr. Schütz, Vizepräsident</w:t>
      </w:r>
    </w:p>
    <w:p w:rsidR="00775A37" w:rsidRDefault="001E3EA9">
      <w:pPr>
        <w:spacing w:after="39"/>
        <w:ind w:right="2513"/>
        <w:jc w:val="center"/>
      </w:pPr>
      <w:r>
        <w:t>Prof. Dr. Wirtz, Kanzlerin Dr. Steuer-Flieser</w:t>
      </w:r>
    </w:p>
    <w:p w:rsidR="00775A37" w:rsidRDefault="001E3EA9">
      <w:pPr>
        <w:spacing w:after="1027" w:line="265" w:lineRule="auto"/>
        <w:ind w:left="1570" w:right="2577" w:firstLine="4"/>
        <w:jc w:val="both"/>
      </w:pPr>
      <w:r>
        <w:t xml:space="preserve">Kerstin </w:t>
      </w:r>
      <w:proofErr w:type="spellStart"/>
      <w:r>
        <w:t>Seidenath</w:t>
      </w:r>
      <w:proofErr w:type="spellEnd"/>
      <w:r>
        <w:t xml:space="preserve"> M.A. (Protokoll)</w:t>
      </w:r>
    </w:p>
    <w:p w:rsidR="00775A37" w:rsidRDefault="001E3EA9">
      <w:pPr>
        <w:spacing w:after="131" w:line="265" w:lineRule="auto"/>
        <w:ind w:left="172" w:right="2577" w:firstLine="4"/>
        <w:jc w:val="both"/>
      </w:pPr>
      <w:r>
        <w:t>TOP 11 Mittelverwendung gemäß Studienzuschusssatzung</w:t>
      </w:r>
    </w:p>
    <w:p w:rsidR="00775A37" w:rsidRDefault="001E3EA9">
      <w:pPr>
        <w:spacing w:after="58" w:line="265" w:lineRule="auto"/>
        <w:ind w:left="172" w:right="2577" w:firstLine="4"/>
        <w:jc w:val="both"/>
      </w:pPr>
      <w:r>
        <w:t>Gem. S 3 Abs. 2 der Studienzuschusssatzung vom 20.12.2013 können im Rahmen der jährlichen Mittelzuweisungen und ohne, dass die jeweiligen Ansätze überzogen werden, folgende Maßnahmen aus Studienzuschüssen finanziert werden:</w:t>
      </w:r>
    </w:p>
    <w:p w:rsidR="00775A37" w:rsidRDefault="001E3EA9">
      <w:pPr>
        <w:numPr>
          <w:ilvl w:val="0"/>
          <w:numId w:val="1"/>
        </w:numPr>
        <w:spacing w:after="32" w:line="265" w:lineRule="auto"/>
        <w:ind w:right="2577" w:hanging="547"/>
        <w:jc w:val="both"/>
      </w:pPr>
      <w:r>
        <w:t>Personalkosten Beamte und Angestellte</w:t>
      </w:r>
    </w:p>
    <w:p w:rsidR="00775A37" w:rsidRDefault="001E3EA9">
      <w:pPr>
        <w:numPr>
          <w:ilvl w:val="0"/>
          <w:numId w:val="1"/>
        </w:numPr>
        <w:spacing w:after="32" w:line="265" w:lineRule="auto"/>
        <w:ind w:right="2577" w:hanging="547"/>
        <w:jc w:val="both"/>
      </w:pPr>
      <w:r>
        <w:t>Unbefristet beschäftigtes Lehrpersonal</w:t>
      </w:r>
    </w:p>
    <w:p w:rsidR="00775A37" w:rsidRDefault="001E3EA9">
      <w:pPr>
        <w:numPr>
          <w:ilvl w:val="0"/>
          <w:numId w:val="1"/>
        </w:numPr>
        <w:spacing w:after="32" w:line="265" w:lineRule="auto"/>
        <w:ind w:right="2577" w:hanging="547"/>
        <w:jc w:val="both"/>
      </w:pPr>
      <w:r>
        <w:t>Befristet beschäftigtes Lehrpersonal</w:t>
      </w:r>
    </w:p>
    <w:p w:rsidR="00775A37" w:rsidRDefault="001E3EA9">
      <w:pPr>
        <w:numPr>
          <w:ilvl w:val="0"/>
          <w:numId w:val="1"/>
        </w:numPr>
        <w:spacing w:after="32" w:line="265" w:lineRule="auto"/>
        <w:ind w:right="2577" w:hanging="547"/>
        <w:jc w:val="both"/>
      </w:pPr>
      <w:r>
        <w:t>Tutorien und Hilfskräfte</w:t>
      </w:r>
    </w:p>
    <w:p w:rsidR="00775A37" w:rsidRDefault="001E3EA9">
      <w:pPr>
        <w:numPr>
          <w:ilvl w:val="0"/>
          <w:numId w:val="1"/>
        </w:numPr>
        <w:spacing w:after="41"/>
        <w:ind w:right="2577" w:hanging="547"/>
        <w:jc w:val="both"/>
      </w:pPr>
      <w:r>
        <w:rPr>
          <w:sz w:val="20"/>
        </w:rPr>
        <w:t>Lehraufträge und Gast-vorträge</w:t>
      </w:r>
    </w:p>
    <w:p w:rsidR="00775A37" w:rsidRDefault="001E3EA9">
      <w:pPr>
        <w:numPr>
          <w:ilvl w:val="0"/>
          <w:numId w:val="1"/>
        </w:numPr>
        <w:spacing w:after="32" w:line="265" w:lineRule="auto"/>
        <w:ind w:right="2577" w:hanging="547"/>
        <w:jc w:val="both"/>
      </w:pPr>
      <w:r>
        <w:t>Literaturbeschaffung (erfolgt ausschließlich über die Bibliothek)</w:t>
      </w:r>
    </w:p>
    <w:p w:rsidR="00775A37" w:rsidRDefault="001E3EA9">
      <w:pPr>
        <w:numPr>
          <w:ilvl w:val="0"/>
          <w:numId w:val="1"/>
        </w:numPr>
        <w:spacing w:after="32" w:line="265" w:lineRule="auto"/>
        <w:ind w:right="2577" w:hanging="547"/>
        <w:jc w:val="both"/>
      </w:pPr>
      <w:r>
        <w:t>Allgemeine Sachaufwendungen</w:t>
      </w:r>
    </w:p>
    <w:p w:rsidR="00775A37" w:rsidRDefault="001E3EA9">
      <w:pPr>
        <w:numPr>
          <w:ilvl w:val="0"/>
          <w:numId w:val="1"/>
        </w:numPr>
        <w:spacing w:after="32" w:line="265" w:lineRule="auto"/>
        <w:ind w:right="2577" w:hanging="547"/>
        <w:jc w:val="both"/>
      </w:pPr>
      <w:r>
        <w:t>Exkursionen und Reisekosten</w:t>
      </w:r>
    </w:p>
    <w:p w:rsidR="00775A37" w:rsidRDefault="001E3EA9">
      <w:pPr>
        <w:numPr>
          <w:ilvl w:val="0"/>
          <w:numId w:val="1"/>
        </w:numPr>
        <w:spacing w:after="8" w:line="251" w:lineRule="auto"/>
        <w:ind w:right="2577" w:hanging="547"/>
        <w:jc w:val="both"/>
      </w:pPr>
      <w:r>
        <w:rPr>
          <w:sz w:val="24"/>
        </w:rPr>
        <w:t>Anmietungen</w:t>
      </w:r>
    </w:p>
    <w:p w:rsidR="00775A37" w:rsidRDefault="001E3EA9">
      <w:pPr>
        <w:numPr>
          <w:ilvl w:val="0"/>
          <w:numId w:val="1"/>
        </w:numPr>
        <w:spacing w:after="32" w:line="265" w:lineRule="auto"/>
        <w:ind w:right="2577" w:hanging="547"/>
        <w:jc w:val="both"/>
      </w:pPr>
      <w:r>
        <w:t>Kleine Baumaßnahmen inkl. Bauunterhalt</w:t>
      </w:r>
    </w:p>
    <w:p w:rsidR="00775A37" w:rsidRDefault="001E3EA9">
      <w:pPr>
        <w:numPr>
          <w:ilvl w:val="0"/>
          <w:numId w:val="1"/>
        </w:numPr>
        <w:spacing w:after="55" w:line="265" w:lineRule="auto"/>
        <w:ind w:right="2577" w:hanging="547"/>
        <w:jc w:val="both"/>
      </w:pPr>
      <w:r>
        <w:t>Investitionen allgemein</w:t>
      </w:r>
    </w:p>
    <w:p w:rsidR="00775A37" w:rsidRDefault="001E3EA9">
      <w:pPr>
        <w:numPr>
          <w:ilvl w:val="0"/>
          <w:numId w:val="1"/>
        </w:numPr>
        <w:spacing w:after="32" w:line="265" w:lineRule="auto"/>
        <w:ind w:right="2577" w:hanging="547"/>
        <w:jc w:val="both"/>
      </w:pPr>
      <w:r>
        <w:t>Ausstattungsgegenstände (Mobiliar, Geräte und dgl.)</w:t>
      </w:r>
    </w:p>
    <w:p w:rsidR="00775A37" w:rsidRDefault="001E3EA9">
      <w:pPr>
        <w:numPr>
          <w:ilvl w:val="0"/>
          <w:numId w:val="1"/>
        </w:numPr>
        <w:spacing w:after="137" w:line="265" w:lineRule="auto"/>
        <w:ind w:right="2577" w:hanging="547"/>
        <w:jc w:val="both"/>
      </w:pPr>
      <w:r>
        <w:t>DV-Beschaffungen (Hard- und Software)</w:t>
      </w:r>
    </w:p>
    <w:p w:rsidR="009F1867" w:rsidRDefault="001E3EA9" w:rsidP="009F1867">
      <w:pPr>
        <w:spacing w:after="505" w:line="265" w:lineRule="auto"/>
        <w:ind w:left="172" w:right="2577" w:firstLine="4"/>
        <w:jc w:val="both"/>
      </w:pPr>
      <w:r>
        <w:t>Die Universitätsleitung beschließt die genannten Zielvorgaben. Familiengerechte Maßnahmen können nicht über Stu</w:t>
      </w:r>
      <w:r w:rsidR="009F1867">
        <w:t>dienzuschüsse finanziert werden.</w:t>
      </w:r>
    </w:p>
    <w:p w:rsidR="009F1867" w:rsidRPr="009F1867" w:rsidRDefault="009F1867" w:rsidP="009F1867">
      <w:pPr>
        <w:spacing w:after="505" w:line="265" w:lineRule="auto"/>
        <w:ind w:left="172" w:right="2577" w:firstLine="4"/>
        <w:jc w:val="both"/>
        <w:rPr>
          <w:u w:val="single"/>
        </w:rPr>
      </w:pPr>
      <w:r w:rsidRPr="009F1867">
        <w:rPr>
          <w:u w:val="single"/>
        </w:rPr>
        <w:t>Abt. IV</w:t>
      </w:r>
    </w:p>
    <w:p w:rsidR="00775A37" w:rsidRDefault="001E3EA9" w:rsidP="009F1867">
      <w:pPr>
        <w:spacing w:after="505" w:line="265" w:lineRule="auto"/>
        <w:ind w:left="172" w:right="2577" w:firstLine="4"/>
        <w:jc w:val="both"/>
      </w:pPr>
      <w:r>
        <w:t>Mit der Bitte um Kenntnisnahme und weitere Veranlassung.</w:t>
      </w:r>
    </w:p>
    <w:p w:rsidR="00775A37" w:rsidRDefault="001E3EA9">
      <w:pPr>
        <w:spacing w:after="762" w:line="265" w:lineRule="auto"/>
        <w:ind w:left="60" w:hanging="1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4823461</wp:posOffset>
            </wp:positionH>
            <wp:positionV relativeFrom="paragraph">
              <wp:posOffset>-491639</wp:posOffset>
            </wp:positionV>
            <wp:extent cx="1335024" cy="1321308"/>
            <wp:effectExtent l="0" t="0" r="0" b="0"/>
            <wp:wrapSquare wrapText="bothSides"/>
            <wp:docPr id="4942" name="Picture 4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2" name="Picture 49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5024" cy="1321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1867">
        <w:rPr>
          <w:sz w:val="28"/>
        </w:rPr>
        <w:t>Abteilung</w:t>
      </w:r>
      <w:r w:rsidR="00A73AEB">
        <w:rPr>
          <w:sz w:val="28"/>
        </w:rPr>
        <w:t xml:space="preserve"> IV - </w:t>
      </w:r>
      <w:r w:rsidR="009F1867">
        <w:rPr>
          <w:sz w:val="28"/>
        </w:rPr>
        <w:t xml:space="preserve">Haushaltsangelegenheiten </w:t>
      </w:r>
      <w:bookmarkStart w:id="0" w:name="_GoBack"/>
      <w:bookmarkEnd w:id="0"/>
      <w:r w:rsidR="009F1867">
        <w:rPr>
          <w:sz w:val="28"/>
        </w:rPr>
        <w:t>– Referat IV/1</w:t>
      </w:r>
    </w:p>
    <w:p w:rsidR="00775A37" w:rsidRDefault="001E3EA9">
      <w:pPr>
        <w:pStyle w:val="berschrift1"/>
      </w:pPr>
      <w:r>
        <w:t>Haushaltsvollzug Studienzuschüsse</w:t>
      </w:r>
    </w:p>
    <w:p w:rsidR="00775A37" w:rsidRDefault="001E3EA9">
      <w:pPr>
        <w:spacing w:after="216"/>
        <w:ind w:left="43"/>
      </w:pPr>
      <w:r>
        <w:rPr>
          <w:sz w:val="26"/>
        </w:rPr>
        <w:t>Mittelverwendung (zu § 3 der Studienzuschusssatzung)</w:t>
      </w:r>
    </w:p>
    <w:p w:rsidR="00775A37" w:rsidRDefault="001E3EA9">
      <w:pPr>
        <w:spacing w:after="44" w:line="251" w:lineRule="auto"/>
        <w:ind w:left="36" w:firstLine="4"/>
        <w:jc w:val="both"/>
      </w:pPr>
      <w:r>
        <w:rPr>
          <w:sz w:val="24"/>
        </w:rPr>
        <w:t>Seit dem WS 2013/14 werden der Universität Bamberg anstelle der bisherigen Studienbeiträge seitens des Ministeriums sog. „Studienzuschüsse" aus dem Staatshaushalt bei Kapitel 1526 Titelgruppe 96 zur Verfügung gestellt.</w:t>
      </w:r>
    </w:p>
    <w:p w:rsidR="00775A37" w:rsidRDefault="001E3EA9">
      <w:pPr>
        <w:spacing w:after="273" w:line="260" w:lineRule="auto"/>
        <w:ind w:left="36" w:firstLine="7"/>
      </w:pPr>
      <w:r>
        <w:rPr>
          <w:sz w:val="24"/>
          <w:u w:val="single" w:color="000000"/>
        </w:rPr>
        <w:t>Diese Gelder sind - analog zu den Studienbeiträgen — ausschließlich zur Verbesserung der Studienbedingungen und ohne Erhöhung der Aufnahmekapazitäten einzusetzen.</w:t>
      </w:r>
    </w:p>
    <w:p w:rsidR="00775A37" w:rsidRDefault="001E3EA9">
      <w:pPr>
        <w:spacing w:after="252" w:line="251" w:lineRule="auto"/>
        <w:ind w:left="29" w:right="144" w:firstLine="4"/>
        <w:jc w:val="both"/>
      </w:pPr>
      <w:r>
        <w:rPr>
          <w:sz w:val="24"/>
        </w:rPr>
        <w:t xml:space="preserve">Gem. S 3 der Studienzuschusssatzung vom 20.12.2013 und UL-Beschluss vom 29.1.2014 können im </w:t>
      </w:r>
      <w:r>
        <w:rPr>
          <w:sz w:val="24"/>
          <w:u w:val="single" w:color="000000"/>
        </w:rPr>
        <w:t>Rahmen der jährlichen Mittelzuweisungen und ohne, dass die jeweiligen Ansätze überzogen werden</w:t>
      </w:r>
      <w:r>
        <w:rPr>
          <w:sz w:val="24"/>
        </w:rPr>
        <w:t>, folgende Maßnahmen aus Studienzuschüssen finanziert werden:</w:t>
      </w:r>
    </w:p>
    <w:p w:rsidR="00775A37" w:rsidRDefault="001E3EA9">
      <w:pPr>
        <w:pStyle w:val="berschrift2"/>
        <w:ind w:left="17"/>
      </w:pPr>
      <w:r>
        <w:t>Aufteilung nach Einzeltiteln der Titelgruppe 96</w:t>
      </w:r>
    </w:p>
    <w:p w:rsidR="00775A37" w:rsidRDefault="001E3EA9">
      <w:pPr>
        <w:tabs>
          <w:tab w:val="center" w:pos="410"/>
          <w:tab w:val="center" w:pos="1354"/>
        </w:tabs>
        <w:spacing w:after="0" w:line="265" w:lineRule="auto"/>
      </w:pPr>
      <w:r>
        <w:tab/>
        <w:t>0</w:t>
      </w:r>
      <w:r>
        <w:tab/>
        <w:t>1526 / 422 96</w:t>
      </w:r>
    </w:p>
    <w:p w:rsidR="00775A37" w:rsidRDefault="001E3EA9">
      <w:pPr>
        <w:spacing w:after="258" w:line="251" w:lineRule="auto"/>
        <w:ind w:left="712" w:firstLine="4"/>
        <w:jc w:val="both"/>
      </w:pPr>
      <w:r>
        <w:rPr>
          <w:sz w:val="24"/>
        </w:rPr>
        <w:t>Personalkosten Beamte</w:t>
      </w:r>
    </w:p>
    <w:p w:rsidR="00775A37" w:rsidRDefault="001E3EA9">
      <w:pPr>
        <w:spacing w:after="271" w:line="251" w:lineRule="auto"/>
        <w:ind w:left="727" w:right="3751" w:hanging="360"/>
        <w:jc w:val="both"/>
      </w:pPr>
      <w:r>
        <w:rPr>
          <w:sz w:val="24"/>
        </w:rPr>
        <w:t>0 1526 / 428 96 Unbefristet beschäftigtes Lehrpersonal und Angestellte</w:t>
      </w:r>
    </w:p>
    <w:p w:rsidR="00775A37" w:rsidRDefault="001E3EA9">
      <w:pPr>
        <w:spacing w:after="8" w:line="251" w:lineRule="auto"/>
        <w:ind w:left="367" w:firstLine="4"/>
        <w:jc w:val="both"/>
      </w:pPr>
      <w:r>
        <w:rPr>
          <w:noProof/>
        </w:rPr>
        <w:drawing>
          <wp:inline distT="0" distB="0" distL="0" distR="0">
            <wp:extent cx="50292" cy="54864"/>
            <wp:effectExtent l="0" t="0" r="0" b="0"/>
            <wp:docPr id="2247" name="Picture 2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7" name="Picture 22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1526 / 459 96</w:t>
      </w:r>
    </w:p>
    <w:p w:rsidR="00775A37" w:rsidRDefault="001E3EA9">
      <w:pPr>
        <w:spacing w:after="8" w:line="251" w:lineRule="auto"/>
        <w:ind w:left="712" w:firstLine="4"/>
        <w:jc w:val="both"/>
      </w:pPr>
      <w:r>
        <w:rPr>
          <w:sz w:val="24"/>
        </w:rPr>
        <w:t>Befristet beschäftigtes Lehrpersonal und Angestellte</w:t>
      </w:r>
    </w:p>
    <w:p w:rsidR="00775A37" w:rsidRDefault="001E3EA9">
      <w:pPr>
        <w:spacing w:after="8" w:line="251" w:lineRule="auto"/>
        <w:ind w:left="712" w:firstLine="4"/>
        <w:jc w:val="both"/>
      </w:pPr>
      <w:r>
        <w:rPr>
          <w:sz w:val="24"/>
        </w:rPr>
        <w:t>Tutorien und Hilfskräfte</w:t>
      </w:r>
    </w:p>
    <w:p w:rsidR="00775A37" w:rsidRDefault="001E3EA9">
      <w:pPr>
        <w:spacing w:after="247" w:line="251" w:lineRule="auto"/>
        <w:ind w:left="712" w:firstLine="4"/>
        <w:jc w:val="both"/>
      </w:pPr>
      <w:r>
        <w:rPr>
          <w:sz w:val="24"/>
        </w:rPr>
        <w:t>Lehraufträge und Gastvorträge</w:t>
      </w:r>
    </w:p>
    <w:p w:rsidR="00775A37" w:rsidRDefault="001E3EA9">
      <w:pPr>
        <w:tabs>
          <w:tab w:val="center" w:pos="403"/>
          <w:tab w:val="center" w:pos="1346"/>
        </w:tabs>
        <w:spacing w:after="0" w:line="265" w:lineRule="auto"/>
      </w:pPr>
      <w:r>
        <w:tab/>
        <w:t>0</w:t>
      </w:r>
      <w:r>
        <w:tab/>
        <w:t>1526 / 523 96</w:t>
      </w:r>
    </w:p>
    <w:p w:rsidR="00775A37" w:rsidRDefault="001E3EA9">
      <w:pPr>
        <w:spacing w:after="283" w:line="251" w:lineRule="auto"/>
        <w:ind w:left="712" w:firstLine="4"/>
        <w:jc w:val="both"/>
      </w:pPr>
      <w:r>
        <w:rPr>
          <w:sz w:val="24"/>
        </w:rPr>
        <w:t>Literaturbeschaffung (erfolgt ausschließlich über die Bibliothek)</w:t>
      </w:r>
    </w:p>
    <w:p w:rsidR="00775A37" w:rsidRDefault="001E3EA9">
      <w:pPr>
        <w:numPr>
          <w:ilvl w:val="0"/>
          <w:numId w:val="2"/>
        </w:numPr>
        <w:spacing w:after="8" w:line="251" w:lineRule="auto"/>
        <w:ind w:hanging="360"/>
        <w:jc w:val="both"/>
      </w:pPr>
      <w:r>
        <w:rPr>
          <w:sz w:val="24"/>
        </w:rPr>
        <w:t>1526 / 547 96</w:t>
      </w:r>
    </w:p>
    <w:p w:rsidR="00775A37" w:rsidRDefault="001E3EA9">
      <w:pPr>
        <w:spacing w:after="8" w:line="251" w:lineRule="auto"/>
        <w:ind w:left="712" w:firstLine="4"/>
        <w:jc w:val="both"/>
      </w:pPr>
      <w:r>
        <w:rPr>
          <w:sz w:val="24"/>
        </w:rPr>
        <w:t>Allgemeine Sachaufwendungen</w:t>
      </w:r>
    </w:p>
    <w:p w:rsidR="00775A37" w:rsidRDefault="001E3EA9">
      <w:pPr>
        <w:spacing w:after="265" w:line="251" w:lineRule="auto"/>
        <w:ind w:left="712" w:right="4788" w:firstLine="4"/>
        <w:jc w:val="both"/>
      </w:pPr>
      <w:r>
        <w:rPr>
          <w:sz w:val="24"/>
        </w:rPr>
        <w:t>Exkursionen und Reisekosten Anmietungen</w:t>
      </w:r>
    </w:p>
    <w:p w:rsidR="00775A37" w:rsidRDefault="001E3EA9">
      <w:pPr>
        <w:numPr>
          <w:ilvl w:val="0"/>
          <w:numId w:val="2"/>
        </w:numPr>
        <w:spacing w:after="281" w:line="251" w:lineRule="auto"/>
        <w:ind w:hanging="360"/>
        <w:jc w:val="both"/>
      </w:pPr>
      <w:r>
        <w:rPr>
          <w:sz w:val="24"/>
        </w:rPr>
        <w:t>1526 / 701 96 Kleine Baumaßnahmen inkl. Bauunterhalt</w:t>
      </w:r>
    </w:p>
    <w:p w:rsidR="00775A37" w:rsidRDefault="001E3EA9">
      <w:pPr>
        <w:numPr>
          <w:ilvl w:val="0"/>
          <w:numId w:val="2"/>
        </w:numPr>
        <w:spacing w:after="8" w:line="251" w:lineRule="auto"/>
        <w:ind w:hanging="360"/>
        <w:jc w:val="both"/>
      </w:pPr>
      <w:r>
        <w:rPr>
          <w:sz w:val="24"/>
        </w:rPr>
        <w:t>1526 / 812 96</w:t>
      </w:r>
    </w:p>
    <w:p w:rsidR="00775A37" w:rsidRDefault="001E3EA9">
      <w:pPr>
        <w:spacing w:after="8" w:line="251" w:lineRule="auto"/>
        <w:ind w:left="712" w:firstLine="4"/>
        <w:jc w:val="both"/>
      </w:pPr>
      <w:r>
        <w:rPr>
          <w:sz w:val="24"/>
        </w:rPr>
        <w:t>Investitionen (allgemein)</w:t>
      </w:r>
    </w:p>
    <w:p w:rsidR="00775A37" w:rsidRDefault="001E3EA9" w:rsidP="009F1867">
      <w:pPr>
        <w:spacing w:after="1018" w:line="251" w:lineRule="auto"/>
        <w:ind w:left="712" w:right="2182" w:firstLine="4"/>
        <w:jc w:val="both"/>
      </w:pPr>
      <w:r>
        <w:rPr>
          <w:sz w:val="24"/>
        </w:rPr>
        <w:t>Ausstattungsgegenstände (Mobiliar, Geräte und dgl.) DV-Be</w:t>
      </w:r>
      <w:r w:rsidR="009F1867">
        <w:rPr>
          <w:sz w:val="24"/>
        </w:rPr>
        <w:t>schaffungen (Hard- und Software)</w:t>
      </w:r>
    </w:p>
    <w:p w:rsidR="009F1867" w:rsidRDefault="009F1867">
      <w:pPr>
        <w:spacing w:after="3"/>
        <w:ind w:left="2" w:hanging="10"/>
        <w:rPr>
          <w:sz w:val="20"/>
        </w:rPr>
      </w:pPr>
      <w:r>
        <w:rPr>
          <w:sz w:val="20"/>
        </w:rPr>
        <w:t>Bamberg, den 12.02.2014</w:t>
      </w:r>
    </w:p>
    <w:p w:rsidR="00775A37" w:rsidRDefault="009F1867">
      <w:pPr>
        <w:spacing w:after="3"/>
        <w:ind w:left="2" w:hanging="10"/>
      </w:pPr>
      <w:r>
        <w:rPr>
          <w:sz w:val="20"/>
        </w:rPr>
        <w:t>Referat IV/1</w:t>
      </w:r>
    </w:p>
    <w:sectPr w:rsidR="00775A37">
      <w:pgSz w:w="11902" w:h="16834"/>
      <w:pgMar w:top="1051" w:right="864" w:bottom="1091" w:left="14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2248" o:spid="_x0000_i1026" style="width:3.6pt;height:3.6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0A796A48"/>
    <w:multiLevelType w:val="hybridMultilevel"/>
    <w:tmpl w:val="415840D2"/>
    <w:lvl w:ilvl="0" w:tplc="26840BFA">
      <w:start w:val="1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98789E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740F96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7EA17E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BA66B8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F2684E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EC93BA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F6FA6A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0834B4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362556"/>
    <w:multiLevelType w:val="hybridMultilevel"/>
    <w:tmpl w:val="12A21D24"/>
    <w:lvl w:ilvl="0" w:tplc="4378DBB6">
      <w:start w:val="1"/>
      <w:numFmt w:val="bullet"/>
      <w:lvlText w:val="•"/>
      <w:lvlPicBulletId w:val="0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AD078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A865D8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0CCFF6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DCA882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7C18E0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B86774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D0C5A2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402B64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37"/>
    <w:rsid w:val="001E3EA9"/>
    <w:rsid w:val="00775A37"/>
    <w:rsid w:val="009F1867"/>
    <w:rsid w:val="00A7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C31352"/>
  <w15:docId w15:val="{6F9449A2-FB0F-483A-866A-80484228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458"/>
      <w:ind w:left="58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after="253" w:line="265" w:lineRule="auto"/>
      <w:ind w:left="176" w:hanging="10"/>
      <w:outlineLvl w:val="1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berschrift2Zchn">
    <w:name w:val="Überschrift 2 Zchn"/>
    <w:link w:val="berschrift2"/>
    <w:rPr>
      <w:rFonts w:ascii="Times New Roman" w:eastAsia="Times New Roman" w:hAnsi="Times New Roman" w:cs="Times New Roman"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bazv4215</dc:creator>
  <cp:keywords/>
  <cp:lastModifiedBy>bazv4215</cp:lastModifiedBy>
  <cp:revision>3</cp:revision>
  <dcterms:created xsi:type="dcterms:W3CDTF">2019-03-27T13:29:00Z</dcterms:created>
  <dcterms:modified xsi:type="dcterms:W3CDTF">2019-04-01T08:20:00Z</dcterms:modified>
</cp:coreProperties>
</file>